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CF" w:rsidRDefault="004725CF" w:rsidP="004725CF">
      <w:pPr>
        <w:pStyle w:val="Nagwek"/>
      </w:pPr>
      <w:bookmarkStart w:id="0" w:name="_GoBack"/>
      <w:bookmarkEnd w:id="0"/>
    </w:p>
    <w:p w:rsidR="003E1F6D" w:rsidRPr="00A74753" w:rsidRDefault="00456268" w:rsidP="00BD1E3F">
      <w:pPr>
        <w:pStyle w:val="Tekstpodstawowy"/>
        <w:spacing w:before="240" w:line="276" w:lineRule="auto"/>
        <w:ind w:right="408"/>
        <w:jc w:val="center"/>
        <w:rPr>
          <w:rFonts w:ascii="Century Gothic" w:hAnsi="Century Gothic"/>
          <w:b/>
          <w:sz w:val="24"/>
          <w:szCs w:val="24"/>
        </w:rPr>
      </w:pPr>
      <w:r w:rsidRPr="00A74753">
        <w:rPr>
          <w:rFonts w:ascii="Century Gothic" w:hAnsi="Century Gothic"/>
          <w:b/>
          <w:sz w:val="24"/>
          <w:szCs w:val="24"/>
        </w:rPr>
        <w:t>Formularz</w:t>
      </w:r>
      <w:r w:rsidR="005D1430">
        <w:rPr>
          <w:rFonts w:ascii="Century Gothic" w:hAnsi="Century Gothic"/>
          <w:b/>
          <w:sz w:val="24"/>
          <w:szCs w:val="24"/>
        </w:rPr>
        <w:t xml:space="preserve"> </w:t>
      </w:r>
      <w:r w:rsidRPr="00A74753">
        <w:rPr>
          <w:rFonts w:ascii="Century Gothic" w:hAnsi="Century Gothic"/>
          <w:b/>
          <w:sz w:val="24"/>
          <w:szCs w:val="24"/>
        </w:rPr>
        <w:t>świadomej</w:t>
      </w:r>
      <w:r w:rsidRPr="00A74753">
        <w:rPr>
          <w:rFonts w:ascii="Century Gothic" w:hAnsi="Century Gothic"/>
          <w:b/>
          <w:spacing w:val="-2"/>
          <w:sz w:val="24"/>
          <w:szCs w:val="24"/>
        </w:rPr>
        <w:t xml:space="preserve"> zgody</w:t>
      </w:r>
    </w:p>
    <w:p w:rsidR="003E1F6D" w:rsidRPr="00A74753" w:rsidRDefault="00456268" w:rsidP="00BD1E3F">
      <w:pPr>
        <w:pStyle w:val="Nagwek11"/>
        <w:spacing w:line="276" w:lineRule="auto"/>
        <w:ind w:firstLine="0"/>
        <w:rPr>
          <w:rFonts w:ascii="Century Gothic" w:hAnsi="Century Gothic"/>
        </w:rPr>
      </w:pPr>
      <w:r w:rsidRPr="00A74753">
        <w:rPr>
          <w:rFonts w:ascii="Century Gothic" w:hAnsi="Century Gothic"/>
        </w:rPr>
        <w:t>I Dane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  <w:spacing w:val="-2"/>
        </w:rPr>
        <w:t>Pacjenta</w:t>
      </w:r>
    </w:p>
    <w:p w:rsidR="003E1F6D" w:rsidRPr="00A74753" w:rsidRDefault="00456268" w:rsidP="00BD1E3F">
      <w:pPr>
        <w:pStyle w:val="Tekstpodstawowy"/>
        <w:spacing w:line="276" w:lineRule="auto"/>
        <w:ind w:left="30"/>
        <w:rPr>
          <w:rFonts w:ascii="Century Gothic" w:hAnsi="Century Gothic"/>
          <w:w w:val="105"/>
        </w:rPr>
      </w:pPr>
      <w:r w:rsidRPr="00A74753">
        <w:rPr>
          <w:rFonts w:ascii="Century Gothic" w:hAnsi="Century Gothic"/>
          <w:w w:val="105"/>
        </w:rPr>
        <w:t>Imię</w:t>
      </w:r>
      <w:r w:rsidR="005D1430">
        <w:rPr>
          <w:rFonts w:ascii="Century Gothic" w:hAnsi="Century Gothic"/>
          <w:w w:val="105"/>
        </w:rPr>
        <w:t xml:space="preserve"> </w:t>
      </w:r>
      <w:r w:rsidRPr="00A74753">
        <w:rPr>
          <w:rFonts w:ascii="Century Gothic" w:hAnsi="Century Gothic"/>
          <w:w w:val="105"/>
        </w:rPr>
        <w:t>i</w:t>
      </w:r>
      <w:r w:rsidR="005D1430">
        <w:rPr>
          <w:rFonts w:ascii="Century Gothic" w:hAnsi="Century Gothic"/>
          <w:w w:val="105"/>
        </w:rPr>
        <w:t xml:space="preserve"> </w:t>
      </w:r>
      <w:r w:rsidRPr="00A74753">
        <w:rPr>
          <w:rFonts w:ascii="Century Gothic" w:hAnsi="Century Gothic"/>
          <w:w w:val="105"/>
        </w:rPr>
        <w:t>nazwisko</w:t>
      </w:r>
      <w:r w:rsidR="005D1430">
        <w:rPr>
          <w:rFonts w:ascii="Century Gothic" w:hAnsi="Century Gothic"/>
          <w:w w:val="105"/>
        </w:rPr>
        <w:t xml:space="preserve"> </w:t>
      </w:r>
      <w:r w:rsidRPr="00A74753">
        <w:rPr>
          <w:rFonts w:ascii="Century Gothic" w:hAnsi="Century Gothic"/>
          <w:w w:val="105"/>
        </w:rPr>
        <w:t>Pacjenta</w:t>
      </w:r>
      <w:r w:rsidR="00A74753" w:rsidRPr="00A74753">
        <w:rPr>
          <w:rFonts w:ascii="Century Gothic" w:hAnsi="Century Gothic"/>
          <w:w w:val="105"/>
        </w:rPr>
        <w:t>:</w:t>
      </w:r>
    </w:p>
    <w:p w:rsidR="00BD1E3F" w:rsidRPr="00A74753" w:rsidRDefault="00BD1E3F" w:rsidP="00BD1E3F">
      <w:pPr>
        <w:pStyle w:val="Tekstpodstawowy"/>
        <w:spacing w:line="276" w:lineRule="auto"/>
        <w:ind w:left="30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…………………………………………………………………………………………………….</w:t>
      </w:r>
    </w:p>
    <w:p w:rsidR="00BD1E3F" w:rsidRPr="00A74753" w:rsidRDefault="00456268" w:rsidP="00BD1E3F">
      <w:pPr>
        <w:pStyle w:val="Tekstpodstawowy"/>
        <w:spacing w:before="240" w:line="276" w:lineRule="auto"/>
        <w:ind w:left="29"/>
        <w:rPr>
          <w:rFonts w:ascii="Century Gothic" w:hAnsi="Century Gothic"/>
          <w:spacing w:val="-2"/>
          <w:w w:val="115"/>
        </w:rPr>
      </w:pPr>
      <w:r w:rsidRPr="00A74753">
        <w:rPr>
          <w:rFonts w:ascii="Century Gothic" w:hAnsi="Century Gothic"/>
        </w:rPr>
        <w:t>Pesel</w:t>
      </w:r>
      <w:r w:rsidR="00A74753" w:rsidRPr="00A74753">
        <w:rPr>
          <w:rFonts w:ascii="Century Gothic" w:hAnsi="Century Gothic"/>
        </w:rPr>
        <w:t>:</w:t>
      </w:r>
    </w:p>
    <w:p w:rsidR="003E1F6D" w:rsidRPr="00A74753" w:rsidRDefault="00456268" w:rsidP="00BD1E3F">
      <w:pPr>
        <w:pStyle w:val="Tekstpodstawowy"/>
        <w:spacing w:before="240" w:line="276" w:lineRule="auto"/>
        <w:ind w:left="29"/>
        <w:rPr>
          <w:rFonts w:ascii="Century Gothic" w:hAnsi="Century Gothic"/>
        </w:rPr>
      </w:pPr>
      <w:r w:rsidRPr="00A74753">
        <w:rPr>
          <w:rFonts w:ascii="Century Gothic" w:hAnsi="Century Gothic"/>
          <w:spacing w:val="-2"/>
          <w:w w:val="115"/>
        </w:rPr>
        <w:t>................................................................................</w:t>
      </w:r>
      <w:r w:rsidR="00BD1E3F" w:rsidRPr="00A74753">
        <w:rPr>
          <w:rFonts w:ascii="Century Gothic" w:hAnsi="Century Gothic"/>
          <w:spacing w:val="-2"/>
          <w:w w:val="115"/>
        </w:rPr>
        <w:t>............................................</w:t>
      </w:r>
    </w:p>
    <w:p w:rsidR="003E1F6D" w:rsidRPr="00A74753" w:rsidRDefault="00456268" w:rsidP="00BD1E3F">
      <w:pPr>
        <w:pStyle w:val="Nagwek11"/>
        <w:numPr>
          <w:ilvl w:val="0"/>
          <w:numId w:val="1"/>
        </w:numPr>
        <w:tabs>
          <w:tab w:val="left" w:pos="215"/>
        </w:tabs>
        <w:spacing w:before="240" w:line="276" w:lineRule="auto"/>
        <w:ind w:left="215" w:hanging="184"/>
        <w:jc w:val="left"/>
        <w:rPr>
          <w:rFonts w:ascii="Century Gothic" w:hAnsi="Century Gothic"/>
        </w:rPr>
      </w:pPr>
      <w:r w:rsidRPr="00A74753">
        <w:rPr>
          <w:rFonts w:ascii="Century Gothic" w:hAnsi="Century Gothic"/>
        </w:rPr>
        <w:t>Nazwa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procedury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  <w:spacing w:val="-2"/>
        </w:rPr>
        <w:t>medycznej</w:t>
      </w:r>
    </w:p>
    <w:p w:rsidR="003E1F6D" w:rsidRPr="00A74753" w:rsidRDefault="00456268" w:rsidP="00344389">
      <w:pPr>
        <w:pStyle w:val="Tekstpodstawowy"/>
        <w:spacing w:before="240" w:line="276" w:lineRule="auto"/>
        <w:rPr>
          <w:rFonts w:ascii="Century Gothic" w:hAnsi="Century Gothic"/>
          <w:spacing w:val="-2"/>
        </w:rPr>
      </w:pPr>
      <w:r w:rsidRPr="00A74753">
        <w:rPr>
          <w:rFonts w:ascii="Century Gothic" w:hAnsi="Century Gothic"/>
        </w:rPr>
        <w:t>Program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leczenia</w:t>
      </w:r>
      <w:r w:rsidR="005D1430">
        <w:rPr>
          <w:rFonts w:ascii="Century Gothic" w:hAnsi="Century Gothic"/>
        </w:rPr>
        <w:t xml:space="preserve"> </w:t>
      </w:r>
      <w:r w:rsidR="00675B20">
        <w:rPr>
          <w:rFonts w:ascii="Century Gothic" w:hAnsi="Century Gothic"/>
        </w:rPr>
        <w:t>Wrzodziejącego Zapalenia Jelita Grubego</w:t>
      </w:r>
    </w:p>
    <w:p w:rsidR="003E1F6D" w:rsidRPr="00675B20" w:rsidRDefault="00456268" w:rsidP="00BD1E3F">
      <w:pPr>
        <w:pStyle w:val="Nagwek11"/>
        <w:numPr>
          <w:ilvl w:val="0"/>
          <w:numId w:val="1"/>
        </w:numPr>
        <w:tabs>
          <w:tab w:val="left" w:pos="273"/>
        </w:tabs>
        <w:spacing w:line="276" w:lineRule="auto"/>
        <w:ind w:left="273" w:hanging="247"/>
        <w:jc w:val="left"/>
        <w:rPr>
          <w:rFonts w:ascii="Century Gothic" w:hAnsi="Century Gothic"/>
        </w:rPr>
      </w:pPr>
      <w:r w:rsidRPr="00A74753">
        <w:rPr>
          <w:rFonts w:ascii="Century Gothic" w:hAnsi="Century Gothic"/>
        </w:rPr>
        <w:t>Opis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choroby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będącej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powodem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objęcia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  <w:spacing w:val="-2"/>
        </w:rPr>
        <w:t>leczeniem</w:t>
      </w:r>
    </w:p>
    <w:p w:rsidR="00675B20" w:rsidRPr="00A74753" w:rsidRDefault="00675B20" w:rsidP="00675B20">
      <w:pPr>
        <w:pStyle w:val="Tekstpodstawowy"/>
        <w:spacing w:before="240" w:line="276" w:lineRule="auto"/>
        <w:ind w:left="27" w:firstLine="7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Wrzodziejące zapalenie jelita grubego (WZJG) jest przewlekłym i rozlanym procesem zapalnym dotyczącym błony śluzowej jelita grubego. Charakterystyczną cechą jest ciągłość zmian zapalnych rozpoczynających się z reguły od odbytnicy. Mogą więc one dotyczyć odbytnicy lub odbytnicy i okrężnicy. Choroba jest przewlekła, w jej przebiegu występują naprzemiennie okresy zaostrzeń i remisji. Najczęstszym objawem WZJG jest biegunka z domieszką świeżej krwi. W ciężkim rzucie choroby liczba wypróżnień może wynosić kilkadziesiąt na dobę. Mogą temu towarzyszyć bóle brzucha, gorączka, odwodnienie, niedożywienie i objawy niedokrwistości.</w:t>
      </w:r>
    </w:p>
    <w:p w:rsidR="00675B20" w:rsidRDefault="00675B20" w:rsidP="00344389">
      <w:pPr>
        <w:pStyle w:val="Tekstpodstawowy"/>
        <w:spacing w:line="276" w:lineRule="auto"/>
        <w:ind w:left="27" w:firstLine="7"/>
        <w:jc w:val="both"/>
        <w:rPr>
          <w:rFonts w:ascii="Century Gothic" w:hAnsi="Century Gothic"/>
        </w:rPr>
      </w:pPr>
    </w:p>
    <w:p w:rsidR="003E1F6D" w:rsidRPr="002F56EC" w:rsidRDefault="00456268" w:rsidP="002F56EC">
      <w:pPr>
        <w:pStyle w:val="Akapitzlist"/>
        <w:numPr>
          <w:ilvl w:val="0"/>
          <w:numId w:val="1"/>
        </w:numPr>
        <w:spacing w:line="276" w:lineRule="auto"/>
        <w:ind w:left="26" w:right="2262" w:firstLine="0"/>
        <w:jc w:val="left"/>
        <w:rPr>
          <w:rFonts w:ascii="Century Gothic" w:hAnsi="Century Gothic"/>
          <w:b/>
        </w:rPr>
      </w:pPr>
      <w:r w:rsidRPr="002F56EC">
        <w:rPr>
          <w:rFonts w:ascii="Century Gothic" w:hAnsi="Century Gothic"/>
          <w:b/>
        </w:rPr>
        <w:t>Produkt leczniczy podawany w ramach w</w:t>
      </w:r>
      <w:r w:rsidR="004725CF" w:rsidRPr="002F56EC">
        <w:rPr>
          <w:rFonts w:ascii="Century Gothic" w:hAnsi="Century Gothic"/>
          <w:b/>
        </w:rPr>
        <w:t>/</w:t>
      </w:r>
      <w:r w:rsidRPr="002F56EC">
        <w:rPr>
          <w:rFonts w:ascii="Century Gothic" w:hAnsi="Century Gothic"/>
          <w:b/>
        </w:rPr>
        <w:t xml:space="preserve">w </w:t>
      </w:r>
      <w:r w:rsidR="004725CF" w:rsidRPr="002F56EC">
        <w:rPr>
          <w:rFonts w:ascii="Century Gothic" w:hAnsi="Century Gothic"/>
          <w:b/>
        </w:rPr>
        <w:t xml:space="preserve"> Programu</w:t>
      </w:r>
      <w:r w:rsidR="002F56EC" w:rsidRPr="002F56EC">
        <w:rPr>
          <w:rFonts w:ascii="Century Gothic" w:hAnsi="Century Gothic"/>
        </w:rPr>
        <w:t xml:space="preserve">: </w:t>
      </w:r>
      <w:r w:rsidR="002F56EC">
        <w:rPr>
          <w:rFonts w:ascii="Century Gothic" w:hAnsi="Century Gothic"/>
        </w:rPr>
        <w:br/>
      </w:r>
      <w:r w:rsidR="003805A7">
        <w:rPr>
          <w:rFonts w:ascii="Century Gothic" w:hAnsi="Century Gothic"/>
          <w:b/>
          <w:spacing w:val="-2"/>
        </w:rPr>
        <w:t>Guselkumab</w:t>
      </w:r>
    </w:p>
    <w:p w:rsidR="00BD1E3F" w:rsidRDefault="00BD1E3F" w:rsidP="00BD1E3F">
      <w:pPr>
        <w:pStyle w:val="Tekstpodstawowy"/>
        <w:spacing w:line="276" w:lineRule="auto"/>
        <w:rPr>
          <w:rFonts w:ascii="Century Gothic" w:hAnsi="Century Gothic"/>
        </w:rPr>
      </w:pPr>
      <w:r w:rsidRPr="00A74753">
        <w:rPr>
          <w:rFonts w:ascii="Century Gothic" w:hAnsi="Century Gothic"/>
        </w:rPr>
        <w:t>Mechanizm działania</w:t>
      </w:r>
      <w:r w:rsidR="00A74753">
        <w:rPr>
          <w:rFonts w:ascii="Century Gothic" w:hAnsi="Century Gothic"/>
        </w:rPr>
        <w:t>:</w:t>
      </w:r>
    </w:p>
    <w:p w:rsidR="003805A7" w:rsidRDefault="003805A7" w:rsidP="003805A7">
      <w:pPr>
        <w:pStyle w:val="Tekstpodstawowy"/>
        <w:spacing w:line="276" w:lineRule="auto"/>
        <w:jc w:val="both"/>
        <w:rPr>
          <w:rFonts w:ascii="Century Gothic" w:hAnsi="Century Gothic"/>
        </w:rPr>
      </w:pPr>
      <w:r w:rsidRPr="003805A7">
        <w:rPr>
          <w:rFonts w:ascii="Century Gothic" w:hAnsi="Century Gothic"/>
        </w:rPr>
        <w:t>Guselkumab IgG1λ jest ludzkim przeciwciałem monoklonalnym (</w:t>
      </w:r>
      <w:proofErr w:type="spellStart"/>
      <w:r w:rsidRPr="003805A7">
        <w:rPr>
          <w:rFonts w:ascii="Century Gothic" w:hAnsi="Century Gothic"/>
        </w:rPr>
        <w:t>mAb</w:t>
      </w:r>
      <w:proofErr w:type="spellEnd"/>
      <w:r w:rsidRPr="003805A7">
        <w:rPr>
          <w:rFonts w:ascii="Century Gothic" w:hAnsi="Century Gothic"/>
        </w:rPr>
        <w:t xml:space="preserve">), które selektywnie wiąże się z interleukiną 23 (IL-23) z wysoką swoistością i powinowactwem poprzez miejsce wiązania antygenu. IL-23 jest </w:t>
      </w:r>
      <w:proofErr w:type="spellStart"/>
      <w:r w:rsidRPr="003805A7">
        <w:rPr>
          <w:rFonts w:ascii="Century Gothic" w:hAnsi="Century Gothic"/>
        </w:rPr>
        <w:t>cytokiną</w:t>
      </w:r>
      <w:proofErr w:type="spellEnd"/>
      <w:r w:rsidRPr="003805A7">
        <w:rPr>
          <w:rFonts w:ascii="Century Gothic" w:hAnsi="Century Gothic"/>
        </w:rPr>
        <w:t xml:space="preserve"> zaangażowaną w odpowiedź zapalną i immunologiczną. Blokując wiązanie IL-23 z jej receptorem, guselkumab hamuje zależną od IL-23 sygnalizację międzykomórkową i uwalnianie cytokin prozapalnych. </w:t>
      </w:r>
    </w:p>
    <w:p w:rsidR="003805A7" w:rsidRDefault="003805A7" w:rsidP="003805A7">
      <w:pPr>
        <w:pStyle w:val="Tekstpodstawowy"/>
        <w:spacing w:line="276" w:lineRule="auto"/>
        <w:jc w:val="both"/>
        <w:rPr>
          <w:rFonts w:ascii="Century Gothic" w:hAnsi="Century Gothic"/>
        </w:rPr>
      </w:pPr>
      <w:r w:rsidRPr="003805A7">
        <w:rPr>
          <w:rFonts w:ascii="Century Gothic" w:hAnsi="Century Gothic"/>
        </w:rPr>
        <w:t xml:space="preserve">Wykazano, że komórki </w:t>
      </w:r>
      <w:proofErr w:type="spellStart"/>
      <w:r w:rsidRPr="003805A7">
        <w:rPr>
          <w:rFonts w:ascii="Century Gothic" w:hAnsi="Century Gothic"/>
        </w:rPr>
        <w:t>mieloidalne</w:t>
      </w:r>
      <w:proofErr w:type="spellEnd"/>
      <w:r w:rsidRPr="003805A7">
        <w:rPr>
          <w:rFonts w:ascii="Century Gothic" w:hAnsi="Century Gothic"/>
        </w:rPr>
        <w:t xml:space="preserve">, prezentujące receptor </w:t>
      </w:r>
      <w:proofErr w:type="spellStart"/>
      <w:r w:rsidRPr="003805A7">
        <w:rPr>
          <w:rFonts w:ascii="Century Gothic" w:hAnsi="Century Gothic"/>
        </w:rPr>
        <w:t>Fc-gamma</w:t>
      </w:r>
      <w:proofErr w:type="spellEnd"/>
      <w:r w:rsidRPr="003805A7">
        <w:rPr>
          <w:rFonts w:ascii="Century Gothic" w:hAnsi="Century Gothic"/>
        </w:rPr>
        <w:t xml:space="preserve"> 1 (CD64), są głównym źródłem IL-23 w tkankach objętych stanem zapalnym w łuszczycy, wrzodziejącym zapaleniu jelita grubego i chorobą Crohna. Wykazano w warunkach in vitro, że guselkumab blokował IL-23 i wiązał się z CD64. Wyniki te wskazują, że guselkumab jest w stanie neutralizować IL-23 w komórkowym źródle stanu zapalnego.</w:t>
      </w:r>
    </w:p>
    <w:p w:rsidR="001214F9" w:rsidRPr="00A74753" w:rsidRDefault="001214F9" w:rsidP="003805A7">
      <w:pPr>
        <w:pStyle w:val="Tekstpodstawowy"/>
        <w:spacing w:line="276" w:lineRule="auto"/>
        <w:jc w:val="both"/>
        <w:rPr>
          <w:rFonts w:ascii="Century Gothic" w:hAnsi="Century Gothic"/>
        </w:rPr>
      </w:pPr>
    </w:p>
    <w:p w:rsidR="003E1F6D" w:rsidRPr="00A74753" w:rsidRDefault="00456268" w:rsidP="00BD1E3F">
      <w:pPr>
        <w:pStyle w:val="Akapitzlist"/>
        <w:numPr>
          <w:ilvl w:val="0"/>
          <w:numId w:val="1"/>
        </w:numPr>
        <w:tabs>
          <w:tab w:val="left" w:pos="235"/>
        </w:tabs>
        <w:spacing w:line="276" w:lineRule="auto"/>
        <w:ind w:left="235" w:hanging="209"/>
        <w:jc w:val="both"/>
        <w:rPr>
          <w:rFonts w:ascii="Century Gothic" w:hAnsi="Century Gothic"/>
          <w:b/>
        </w:rPr>
      </w:pPr>
      <w:r w:rsidRPr="00A74753">
        <w:rPr>
          <w:rFonts w:ascii="Century Gothic" w:hAnsi="Century Gothic"/>
          <w:b/>
          <w:w w:val="105"/>
        </w:rPr>
        <w:t>Droga</w:t>
      </w:r>
      <w:r w:rsidR="005D1430">
        <w:rPr>
          <w:rFonts w:ascii="Century Gothic" w:hAnsi="Century Gothic"/>
          <w:b/>
          <w:w w:val="105"/>
        </w:rPr>
        <w:t xml:space="preserve"> </w:t>
      </w:r>
      <w:r w:rsidRPr="00A74753">
        <w:rPr>
          <w:rFonts w:ascii="Century Gothic" w:hAnsi="Century Gothic"/>
          <w:b/>
          <w:w w:val="105"/>
        </w:rPr>
        <w:t>podania</w:t>
      </w:r>
      <w:r w:rsidR="007D7313">
        <w:rPr>
          <w:rFonts w:ascii="Century Gothic" w:hAnsi="Century Gothic"/>
          <w:b/>
          <w:w w:val="105"/>
        </w:rPr>
        <w:t xml:space="preserve"> </w:t>
      </w:r>
      <w:r w:rsidRPr="00A74753">
        <w:rPr>
          <w:rFonts w:ascii="Century Gothic" w:hAnsi="Century Gothic"/>
          <w:b/>
          <w:spacing w:val="-4"/>
          <w:w w:val="105"/>
        </w:rPr>
        <w:t>leku</w:t>
      </w:r>
    </w:p>
    <w:p w:rsidR="003805A7" w:rsidRPr="003805A7" w:rsidRDefault="003805A7" w:rsidP="003805A7">
      <w:pPr>
        <w:pStyle w:val="Tekstpodstawowy"/>
        <w:spacing w:line="276" w:lineRule="auto"/>
        <w:ind w:left="21" w:firstLine="3"/>
        <w:jc w:val="both"/>
        <w:rPr>
          <w:rFonts w:ascii="Century Gothic" w:hAnsi="Century Gothic"/>
          <w:spacing w:val="-4"/>
        </w:rPr>
      </w:pPr>
      <w:r w:rsidRPr="003805A7">
        <w:rPr>
          <w:rFonts w:ascii="Century Gothic" w:hAnsi="Century Gothic"/>
          <w:spacing w:val="-4"/>
        </w:rPr>
        <w:t>Zalecany jest jeden z następujących dwóch schematów dawkowania indukcyjnego:</w:t>
      </w:r>
    </w:p>
    <w:p w:rsidR="003805A7" w:rsidRPr="003805A7" w:rsidRDefault="003805A7" w:rsidP="003805A7">
      <w:pPr>
        <w:pStyle w:val="Tekstpodstawowy"/>
        <w:spacing w:line="276" w:lineRule="auto"/>
        <w:ind w:left="21" w:firstLine="3"/>
        <w:jc w:val="both"/>
        <w:rPr>
          <w:rFonts w:ascii="Century Gothic" w:hAnsi="Century Gothic"/>
          <w:spacing w:val="-4"/>
        </w:rPr>
      </w:pPr>
      <w:r w:rsidRPr="003805A7">
        <w:rPr>
          <w:rFonts w:ascii="Century Gothic" w:hAnsi="Century Gothic"/>
          <w:spacing w:val="-4"/>
        </w:rPr>
        <w:t>• 200 mg podawane we wlewie dożylnym w tygodniu 0., tygodniu 4. i tygodniu 8.</w:t>
      </w:r>
    </w:p>
    <w:p w:rsidR="003805A7" w:rsidRPr="003805A7" w:rsidRDefault="003805A7" w:rsidP="003805A7">
      <w:pPr>
        <w:pStyle w:val="Tekstpodstawowy"/>
        <w:spacing w:line="276" w:lineRule="auto"/>
        <w:ind w:left="21" w:firstLine="3"/>
        <w:jc w:val="both"/>
        <w:rPr>
          <w:rFonts w:ascii="Century Gothic" w:hAnsi="Century Gothic"/>
          <w:spacing w:val="-4"/>
        </w:rPr>
      </w:pPr>
      <w:r w:rsidRPr="003805A7">
        <w:rPr>
          <w:rFonts w:ascii="Century Gothic" w:hAnsi="Century Gothic"/>
          <w:spacing w:val="-4"/>
        </w:rPr>
        <w:t>lub</w:t>
      </w:r>
    </w:p>
    <w:p w:rsidR="003805A7" w:rsidRPr="003805A7" w:rsidRDefault="003805A7" w:rsidP="003805A7">
      <w:pPr>
        <w:pStyle w:val="Tekstpodstawowy"/>
        <w:spacing w:line="276" w:lineRule="auto"/>
        <w:ind w:left="21" w:firstLine="3"/>
        <w:jc w:val="both"/>
        <w:rPr>
          <w:rFonts w:ascii="Century Gothic" w:hAnsi="Century Gothic"/>
          <w:spacing w:val="-4"/>
        </w:rPr>
      </w:pPr>
      <w:r w:rsidRPr="003805A7">
        <w:rPr>
          <w:rFonts w:ascii="Century Gothic" w:hAnsi="Century Gothic"/>
          <w:spacing w:val="-4"/>
        </w:rPr>
        <w:t>• 400 mg podawane we wstrzyknięciu podskórnym (w dwóch kolejnych wstrzyknięciach po</w:t>
      </w:r>
      <w:r>
        <w:rPr>
          <w:rFonts w:ascii="Century Gothic" w:hAnsi="Century Gothic"/>
          <w:spacing w:val="-4"/>
        </w:rPr>
        <w:t xml:space="preserve"> </w:t>
      </w:r>
      <w:r w:rsidRPr="003805A7">
        <w:rPr>
          <w:rFonts w:ascii="Century Gothic" w:hAnsi="Century Gothic"/>
          <w:spacing w:val="-4"/>
        </w:rPr>
        <w:t xml:space="preserve">200 mg) w tygodniu 0., tygodniu 4. i tygodniu 8. </w:t>
      </w:r>
    </w:p>
    <w:p w:rsidR="003805A7" w:rsidRDefault="003805A7" w:rsidP="003805A7">
      <w:pPr>
        <w:pStyle w:val="Tekstpodstawowy"/>
        <w:spacing w:line="276" w:lineRule="auto"/>
        <w:ind w:left="21" w:firstLine="3"/>
        <w:jc w:val="both"/>
        <w:rPr>
          <w:rFonts w:ascii="Century Gothic" w:hAnsi="Century Gothic"/>
          <w:spacing w:val="-4"/>
        </w:rPr>
      </w:pPr>
    </w:p>
    <w:p w:rsidR="003805A7" w:rsidRPr="003805A7" w:rsidRDefault="003805A7" w:rsidP="00C16185">
      <w:pPr>
        <w:pStyle w:val="Tekstpodstawowy"/>
        <w:spacing w:line="276" w:lineRule="auto"/>
        <w:ind w:left="21" w:firstLine="3"/>
        <w:jc w:val="both"/>
        <w:rPr>
          <w:rFonts w:ascii="Century Gothic" w:hAnsi="Century Gothic"/>
          <w:spacing w:val="-4"/>
        </w:rPr>
      </w:pPr>
      <w:r w:rsidRPr="003805A7">
        <w:rPr>
          <w:rFonts w:ascii="Century Gothic" w:hAnsi="Century Gothic"/>
          <w:spacing w:val="-4"/>
        </w:rPr>
        <w:t>Po zakończeniu podawania dawki indukcyjnej zalecana dawka po</w:t>
      </w:r>
      <w:r w:rsidR="00C16185">
        <w:rPr>
          <w:rFonts w:ascii="Century Gothic" w:hAnsi="Century Gothic"/>
          <w:spacing w:val="-4"/>
        </w:rPr>
        <w:t>dtrzymująca, począwszy od 16 tygodnia</w:t>
      </w:r>
      <w:r w:rsidRPr="003805A7">
        <w:rPr>
          <w:rFonts w:ascii="Century Gothic" w:hAnsi="Century Gothic"/>
          <w:spacing w:val="-4"/>
        </w:rPr>
        <w:t xml:space="preserve"> wynosi 100 mg, podawana we wstrzyknięc</w:t>
      </w:r>
      <w:r w:rsidR="00C16185">
        <w:rPr>
          <w:rFonts w:ascii="Century Gothic" w:hAnsi="Century Gothic"/>
          <w:spacing w:val="-4"/>
        </w:rPr>
        <w:t>iu podskórnym co 8 tygodni</w:t>
      </w:r>
      <w:r w:rsidRPr="003805A7">
        <w:rPr>
          <w:rFonts w:ascii="Century Gothic" w:hAnsi="Century Gothic"/>
          <w:spacing w:val="-4"/>
        </w:rPr>
        <w:t>.</w:t>
      </w:r>
    </w:p>
    <w:p w:rsidR="00C71605" w:rsidRDefault="003805A7" w:rsidP="003805A7">
      <w:pPr>
        <w:pStyle w:val="Tekstpodstawowy"/>
        <w:spacing w:line="276" w:lineRule="auto"/>
        <w:ind w:left="21" w:firstLine="3"/>
        <w:jc w:val="both"/>
        <w:rPr>
          <w:rFonts w:ascii="Century Gothic" w:hAnsi="Century Gothic"/>
          <w:spacing w:val="-4"/>
        </w:rPr>
      </w:pPr>
      <w:r w:rsidRPr="003805A7">
        <w:rPr>
          <w:rFonts w:ascii="Century Gothic" w:hAnsi="Century Gothic"/>
          <w:spacing w:val="-4"/>
        </w:rPr>
        <w:t xml:space="preserve">Alternatywnie, u pacjentów, którzy nie wykazują odpowiednich korzyści terapeutycznych </w:t>
      </w:r>
      <w:r w:rsidRPr="003805A7">
        <w:rPr>
          <w:rFonts w:ascii="Century Gothic" w:hAnsi="Century Gothic"/>
          <w:spacing w:val="-4"/>
        </w:rPr>
        <w:lastRenderedPageBreak/>
        <w:t>z leczenia</w:t>
      </w:r>
      <w:r w:rsidR="00C16185">
        <w:rPr>
          <w:rFonts w:ascii="Century Gothic" w:hAnsi="Century Gothic"/>
          <w:spacing w:val="-4"/>
        </w:rPr>
        <w:t xml:space="preserve"> </w:t>
      </w:r>
      <w:r w:rsidRPr="003805A7">
        <w:rPr>
          <w:rFonts w:ascii="Century Gothic" w:hAnsi="Century Gothic"/>
          <w:spacing w:val="-4"/>
        </w:rPr>
        <w:t>indukcyjnego zgodnie z oceną kliniczną, można rozważyć schemat dawkowania podtrzymującego</w:t>
      </w:r>
      <w:r w:rsidR="00C16185">
        <w:rPr>
          <w:rFonts w:ascii="Century Gothic" w:hAnsi="Century Gothic"/>
          <w:spacing w:val="-4"/>
        </w:rPr>
        <w:t xml:space="preserve"> </w:t>
      </w:r>
      <w:r w:rsidRPr="003805A7">
        <w:rPr>
          <w:rFonts w:ascii="Century Gothic" w:hAnsi="Century Gothic"/>
          <w:spacing w:val="-4"/>
        </w:rPr>
        <w:t>200 mg, podawanego we wstrzyknięciu podskórnym, począwszy od 12. tygodnia, a następnie co</w:t>
      </w:r>
      <w:r w:rsidR="00C16185">
        <w:rPr>
          <w:rFonts w:ascii="Century Gothic" w:hAnsi="Century Gothic"/>
          <w:spacing w:val="-4"/>
        </w:rPr>
        <w:t xml:space="preserve"> 4 tygodnie</w:t>
      </w:r>
      <w:r w:rsidRPr="003805A7">
        <w:rPr>
          <w:rFonts w:ascii="Century Gothic" w:hAnsi="Century Gothic"/>
          <w:spacing w:val="-4"/>
        </w:rPr>
        <w:t>.</w:t>
      </w:r>
    </w:p>
    <w:p w:rsidR="00C16185" w:rsidRPr="00A74753" w:rsidRDefault="00C16185" w:rsidP="003805A7">
      <w:pPr>
        <w:pStyle w:val="Tekstpodstawowy"/>
        <w:spacing w:line="276" w:lineRule="auto"/>
        <w:ind w:left="21" w:firstLine="3"/>
        <w:jc w:val="both"/>
        <w:rPr>
          <w:rFonts w:ascii="Century Gothic" w:hAnsi="Century Gothic"/>
          <w:spacing w:val="-4"/>
        </w:rPr>
      </w:pPr>
    </w:p>
    <w:p w:rsidR="003E1F6D" w:rsidRPr="00A74753" w:rsidRDefault="00456268" w:rsidP="00BD1E3F">
      <w:pPr>
        <w:pStyle w:val="Nagwek11"/>
        <w:numPr>
          <w:ilvl w:val="0"/>
          <w:numId w:val="1"/>
        </w:numPr>
        <w:tabs>
          <w:tab w:val="left" w:pos="351"/>
        </w:tabs>
        <w:spacing w:line="276" w:lineRule="auto"/>
        <w:ind w:left="351" w:hanging="334"/>
        <w:jc w:val="left"/>
        <w:rPr>
          <w:rFonts w:ascii="Century Gothic" w:hAnsi="Century Gothic"/>
        </w:rPr>
      </w:pPr>
      <w:r w:rsidRPr="00A74753">
        <w:rPr>
          <w:rFonts w:ascii="Century Gothic" w:hAnsi="Century Gothic"/>
        </w:rPr>
        <w:t>Określenie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czasu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leczenia w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  <w:spacing w:val="-2"/>
        </w:rPr>
        <w:t>programie</w:t>
      </w:r>
      <w:r w:rsidR="002E519D">
        <w:rPr>
          <w:rFonts w:ascii="Century Gothic" w:hAnsi="Century Gothic"/>
          <w:spacing w:val="-2"/>
        </w:rPr>
        <w:br/>
      </w:r>
    </w:p>
    <w:p w:rsidR="00512CB1" w:rsidRDefault="00AA53FA" w:rsidP="00C16185">
      <w:pPr>
        <w:pStyle w:val="Tekstpodstawowy"/>
        <w:spacing w:line="276" w:lineRule="auto"/>
        <w:jc w:val="both"/>
        <w:rPr>
          <w:rFonts w:ascii="Century Gothic" w:hAnsi="Century Gothic"/>
          <w:w w:val="95"/>
        </w:rPr>
      </w:pPr>
      <w:r w:rsidRPr="002F56EC">
        <w:rPr>
          <w:rFonts w:ascii="Century Gothic" w:hAnsi="Century Gothic"/>
          <w:w w:val="95"/>
        </w:rPr>
        <w:t>T</w:t>
      </w:r>
      <w:r w:rsidR="00456268" w:rsidRPr="002F56EC">
        <w:rPr>
          <w:rFonts w:ascii="Century Gothic" w:hAnsi="Century Gothic"/>
          <w:w w:val="95"/>
        </w:rPr>
        <w:t xml:space="preserve">erapia indukcyjna: </w:t>
      </w:r>
      <w:r w:rsidR="00512CB1">
        <w:rPr>
          <w:rFonts w:ascii="Century Gothic" w:hAnsi="Century Gothic"/>
          <w:w w:val="95"/>
        </w:rPr>
        <w:t xml:space="preserve">obejmuje </w:t>
      </w:r>
      <w:r w:rsidR="00512CB1" w:rsidRPr="00512CB1">
        <w:rPr>
          <w:rFonts w:ascii="Century Gothic" w:hAnsi="Century Gothic"/>
          <w:w w:val="95"/>
        </w:rPr>
        <w:t>podawan</w:t>
      </w:r>
      <w:r w:rsidR="00512CB1">
        <w:rPr>
          <w:rFonts w:ascii="Century Gothic" w:hAnsi="Century Gothic"/>
          <w:w w:val="95"/>
        </w:rPr>
        <w:t>ie leku</w:t>
      </w:r>
      <w:r w:rsidR="00512CB1" w:rsidRPr="00512CB1">
        <w:rPr>
          <w:rFonts w:ascii="Century Gothic" w:hAnsi="Century Gothic"/>
          <w:w w:val="95"/>
        </w:rPr>
        <w:t xml:space="preserve"> we wlewie dożylnym</w:t>
      </w:r>
      <w:r w:rsidR="00BE0BFA">
        <w:rPr>
          <w:rFonts w:ascii="Century Gothic" w:hAnsi="Century Gothic"/>
          <w:w w:val="95"/>
        </w:rPr>
        <w:t xml:space="preserve"> (200mg)</w:t>
      </w:r>
      <w:r w:rsidR="00C16185">
        <w:rPr>
          <w:rFonts w:ascii="Century Gothic" w:hAnsi="Century Gothic"/>
          <w:w w:val="95"/>
        </w:rPr>
        <w:t xml:space="preserve"> lub we wstrzyknięciu podskórnym</w:t>
      </w:r>
      <w:r w:rsidR="00BE0BFA">
        <w:rPr>
          <w:rFonts w:ascii="Century Gothic" w:hAnsi="Century Gothic"/>
          <w:w w:val="95"/>
        </w:rPr>
        <w:t xml:space="preserve"> (400mg)</w:t>
      </w:r>
      <w:r w:rsidR="00512CB1" w:rsidRPr="00512CB1">
        <w:rPr>
          <w:rFonts w:ascii="Century Gothic" w:hAnsi="Century Gothic"/>
          <w:w w:val="95"/>
        </w:rPr>
        <w:t xml:space="preserve"> w tygodniu 0., tygodniu 4. i tygodniu 8.</w:t>
      </w:r>
      <w:r w:rsidR="00C16185">
        <w:rPr>
          <w:rFonts w:ascii="Century Gothic" w:hAnsi="Century Gothic"/>
          <w:w w:val="95"/>
        </w:rPr>
        <w:t xml:space="preserve"> Ocena skuteczności leczenia indukującego w 12 tygodniu. </w:t>
      </w:r>
    </w:p>
    <w:p w:rsidR="00C16185" w:rsidRDefault="00512CB1" w:rsidP="005D1430">
      <w:pPr>
        <w:pStyle w:val="Tekstpodstawowy"/>
        <w:spacing w:line="276" w:lineRule="auto"/>
        <w:jc w:val="both"/>
        <w:rPr>
          <w:rFonts w:ascii="Century Gothic" w:hAnsi="Century Gothic"/>
          <w:w w:val="95"/>
        </w:rPr>
      </w:pPr>
      <w:r w:rsidRPr="002F56EC">
        <w:rPr>
          <w:rFonts w:ascii="Century Gothic" w:hAnsi="Century Gothic"/>
          <w:w w:val="95"/>
        </w:rPr>
        <w:t>Leczenie podtrzymujące</w:t>
      </w:r>
      <w:r>
        <w:rPr>
          <w:rFonts w:ascii="Century Gothic" w:hAnsi="Century Gothic"/>
          <w:w w:val="95"/>
        </w:rPr>
        <w:t xml:space="preserve">: </w:t>
      </w:r>
      <w:r w:rsidRPr="00512CB1">
        <w:rPr>
          <w:rFonts w:ascii="Century Gothic" w:hAnsi="Century Gothic"/>
          <w:w w:val="95"/>
        </w:rPr>
        <w:t>podawan</w:t>
      </w:r>
      <w:r>
        <w:rPr>
          <w:rFonts w:ascii="Century Gothic" w:hAnsi="Century Gothic"/>
          <w:w w:val="95"/>
        </w:rPr>
        <w:t>e</w:t>
      </w:r>
      <w:r w:rsidRPr="00512CB1">
        <w:rPr>
          <w:rFonts w:ascii="Century Gothic" w:hAnsi="Century Gothic"/>
          <w:w w:val="95"/>
        </w:rPr>
        <w:t xml:space="preserve"> w postaci wstrzyknięcia podskórnego </w:t>
      </w:r>
      <w:r w:rsidR="00C16185">
        <w:rPr>
          <w:rFonts w:ascii="Century Gothic" w:hAnsi="Century Gothic"/>
          <w:w w:val="95"/>
        </w:rPr>
        <w:t xml:space="preserve">od 12 tygodnia co 4 tygodnie (dawka 200mg) lub od 16 tygodnia co 8 tygodni (dawka 100mg) w zależności o decyzji o schemacie podjętego leczenia. </w:t>
      </w:r>
    </w:p>
    <w:p w:rsidR="00C16185" w:rsidRDefault="00C16185" w:rsidP="005D1430">
      <w:pPr>
        <w:pStyle w:val="Tekstpodstawowy"/>
        <w:spacing w:line="276" w:lineRule="auto"/>
        <w:jc w:val="both"/>
        <w:rPr>
          <w:rFonts w:ascii="Century Gothic" w:hAnsi="Century Gothic"/>
          <w:w w:val="95"/>
        </w:rPr>
      </w:pPr>
    </w:p>
    <w:p w:rsidR="00C16185" w:rsidRDefault="00C16185" w:rsidP="005D1430">
      <w:pPr>
        <w:pStyle w:val="Tekstpodstawowy"/>
        <w:spacing w:line="276" w:lineRule="auto"/>
        <w:jc w:val="both"/>
        <w:rPr>
          <w:rFonts w:ascii="Century Gothic" w:hAnsi="Century Gothic"/>
          <w:w w:val="95"/>
        </w:rPr>
      </w:pPr>
      <w:r w:rsidRPr="00C16185">
        <w:rPr>
          <w:rFonts w:ascii="Century Gothic" w:hAnsi="Century Gothic"/>
          <w:w w:val="95"/>
        </w:rPr>
        <w:t>Należy rozważyć przerwanie leczenia u pacjentów, u których nie wykazano korzyści terapeutycznych po 24 tygodniach leczenia.</w:t>
      </w:r>
    </w:p>
    <w:p w:rsidR="00512CB1" w:rsidRDefault="00512CB1" w:rsidP="005D1430">
      <w:pPr>
        <w:pStyle w:val="Tekstpodstawowy"/>
        <w:spacing w:line="276" w:lineRule="auto"/>
        <w:jc w:val="both"/>
        <w:rPr>
          <w:rFonts w:ascii="Century Gothic" w:hAnsi="Century Gothic"/>
          <w:w w:val="95"/>
        </w:rPr>
      </w:pPr>
      <w:r>
        <w:rPr>
          <w:rFonts w:ascii="Century Gothic" w:hAnsi="Century Gothic"/>
          <w:w w:val="95"/>
        </w:rPr>
        <w:t xml:space="preserve">Aktualnie leczenie w schemacie podtrzymania remisji </w:t>
      </w:r>
      <w:r w:rsidR="005D1430">
        <w:rPr>
          <w:rFonts w:ascii="Century Gothic" w:hAnsi="Century Gothic"/>
          <w:w w:val="95"/>
        </w:rPr>
        <w:t xml:space="preserve">w przypadku leczenia </w:t>
      </w:r>
      <w:r>
        <w:rPr>
          <w:rFonts w:ascii="Century Gothic" w:hAnsi="Century Gothic"/>
          <w:w w:val="95"/>
        </w:rPr>
        <w:t xml:space="preserve">w ramach Programu Lekowego B.32 jest leczeniem bezterminowym. </w:t>
      </w:r>
    </w:p>
    <w:p w:rsidR="00512CB1" w:rsidRDefault="00512CB1" w:rsidP="00512CB1">
      <w:pPr>
        <w:pStyle w:val="Tekstpodstawowy"/>
        <w:spacing w:line="276" w:lineRule="auto"/>
        <w:jc w:val="both"/>
        <w:rPr>
          <w:rFonts w:ascii="Century Gothic" w:hAnsi="Century Gothic"/>
          <w:w w:val="95"/>
        </w:rPr>
      </w:pPr>
    </w:p>
    <w:p w:rsidR="001214F9" w:rsidRDefault="00456268" w:rsidP="001214F9">
      <w:pPr>
        <w:pStyle w:val="Tekstpodstawowy"/>
        <w:spacing w:line="276" w:lineRule="auto"/>
        <w:jc w:val="both"/>
        <w:rPr>
          <w:rFonts w:ascii="Century Gothic" w:hAnsi="Century Gothic"/>
          <w:b/>
          <w:spacing w:val="-2"/>
          <w:w w:val="110"/>
        </w:rPr>
      </w:pPr>
      <w:r w:rsidRPr="002E519D">
        <w:rPr>
          <w:rFonts w:ascii="Century Gothic" w:hAnsi="Century Gothic"/>
          <w:b/>
          <w:w w:val="110"/>
        </w:rPr>
        <w:t>Jak</w:t>
      </w:r>
      <w:r w:rsidR="005D1430">
        <w:rPr>
          <w:rFonts w:ascii="Century Gothic" w:hAnsi="Century Gothic"/>
          <w:b/>
          <w:w w:val="110"/>
        </w:rPr>
        <w:t xml:space="preserve"> </w:t>
      </w:r>
      <w:r w:rsidRPr="002E519D">
        <w:rPr>
          <w:rFonts w:ascii="Century Gothic" w:hAnsi="Century Gothic"/>
          <w:b/>
          <w:w w:val="110"/>
        </w:rPr>
        <w:t>długo</w:t>
      </w:r>
      <w:r w:rsidR="005D1430">
        <w:rPr>
          <w:rFonts w:ascii="Century Gothic" w:hAnsi="Century Gothic"/>
          <w:b/>
          <w:w w:val="110"/>
        </w:rPr>
        <w:t xml:space="preserve"> </w:t>
      </w:r>
      <w:r w:rsidRPr="002E519D">
        <w:rPr>
          <w:rFonts w:ascii="Century Gothic" w:hAnsi="Century Gothic"/>
          <w:b/>
          <w:w w:val="110"/>
        </w:rPr>
        <w:t>trwa</w:t>
      </w:r>
      <w:r w:rsidR="005D1430">
        <w:rPr>
          <w:rFonts w:ascii="Century Gothic" w:hAnsi="Century Gothic"/>
          <w:b/>
          <w:w w:val="110"/>
        </w:rPr>
        <w:t xml:space="preserve"> </w:t>
      </w:r>
      <w:r w:rsidRPr="002E519D">
        <w:rPr>
          <w:rFonts w:ascii="Century Gothic" w:hAnsi="Century Gothic"/>
          <w:b/>
          <w:w w:val="110"/>
        </w:rPr>
        <w:t>pobyt</w:t>
      </w:r>
      <w:r w:rsidR="005D1430">
        <w:rPr>
          <w:rFonts w:ascii="Century Gothic" w:hAnsi="Century Gothic"/>
          <w:b/>
          <w:w w:val="110"/>
        </w:rPr>
        <w:t xml:space="preserve"> </w:t>
      </w:r>
      <w:r w:rsidRPr="002E519D">
        <w:rPr>
          <w:rFonts w:ascii="Century Gothic" w:hAnsi="Century Gothic"/>
          <w:b/>
          <w:w w:val="110"/>
        </w:rPr>
        <w:t>w</w:t>
      </w:r>
      <w:r w:rsidR="005D1430">
        <w:rPr>
          <w:rFonts w:ascii="Century Gothic" w:hAnsi="Century Gothic"/>
          <w:b/>
          <w:w w:val="110"/>
        </w:rPr>
        <w:t xml:space="preserve"> </w:t>
      </w:r>
      <w:r w:rsidRPr="002E519D">
        <w:rPr>
          <w:rFonts w:ascii="Century Gothic" w:hAnsi="Century Gothic"/>
          <w:b/>
          <w:spacing w:val="-2"/>
          <w:w w:val="110"/>
        </w:rPr>
        <w:t>Ośrodku</w:t>
      </w:r>
    </w:p>
    <w:p w:rsidR="003E1F6D" w:rsidRPr="00A74753" w:rsidRDefault="00BF55E1" w:rsidP="001214F9">
      <w:pPr>
        <w:pStyle w:val="Tekstpodstawowy"/>
        <w:spacing w:line="276" w:lineRule="auto"/>
        <w:jc w:val="both"/>
        <w:rPr>
          <w:rFonts w:ascii="Century Gothic" w:hAnsi="Century Gothic"/>
        </w:rPr>
      </w:pPr>
      <w:r w:rsidRPr="00BF55E1">
        <w:rPr>
          <w:rFonts w:ascii="Century Gothic" w:hAnsi="Century Gothic"/>
        </w:rPr>
        <w:t>Wlew rozcieńczonego roztworu powinien tr</w:t>
      </w:r>
      <w:r w:rsidR="00BE0BFA">
        <w:rPr>
          <w:rFonts w:ascii="Century Gothic" w:hAnsi="Century Gothic"/>
        </w:rPr>
        <w:t>wać co najmniej jedną godzinę w przypadku dawki 200mg</w:t>
      </w:r>
      <w:r>
        <w:rPr>
          <w:rFonts w:ascii="Century Gothic" w:hAnsi="Century Gothic"/>
        </w:rPr>
        <w:t>.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Podanie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podskórne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nie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wymaga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długiego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pobytu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w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  <w:spacing w:val="-2"/>
        </w:rPr>
        <w:t>Ośrodku.</w:t>
      </w:r>
    </w:p>
    <w:p w:rsidR="003E1F6D" w:rsidRPr="00135DE7" w:rsidRDefault="005D1430" w:rsidP="004725C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left"/>
        <w:rPr>
          <w:rFonts w:ascii="Century Gothic" w:hAnsi="Century Gothic"/>
          <w:b/>
        </w:rPr>
      </w:pPr>
      <w:r>
        <w:rPr>
          <w:rFonts w:ascii="Century Gothic" w:hAnsi="Century Gothic"/>
          <w:b/>
          <w:w w:val="105"/>
        </w:rPr>
        <w:t xml:space="preserve"> </w:t>
      </w:r>
      <w:r w:rsidR="00456268" w:rsidRPr="00135DE7">
        <w:rPr>
          <w:rFonts w:ascii="Century Gothic" w:hAnsi="Century Gothic"/>
          <w:b/>
          <w:w w:val="105"/>
        </w:rPr>
        <w:t>Skutki</w:t>
      </w:r>
      <w:r>
        <w:rPr>
          <w:rFonts w:ascii="Century Gothic" w:hAnsi="Century Gothic"/>
          <w:b/>
          <w:w w:val="105"/>
        </w:rPr>
        <w:t xml:space="preserve"> </w:t>
      </w:r>
      <w:r w:rsidR="00456268" w:rsidRPr="00135DE7">
        <w:rPr>
          <w:rFonts w:ascii="Century Gothic" w:hAnsi="Century Gothic"/>
          <w:b/>
          <w:spacing w:val="-2"/>
          <w:w w:val="105"/>
        </w:rPr>
        <w:t>uboczne</w:t>
      </w:r>
    </w:p>
    <w:p w:rsidR="001214F9" w:rsidRDefault="00512CB1" w:rsidP="001214F9">
      <w:pPr>
        <w:pStyle w:val="Tekstpodstawowy"/>
        <w:spacing w:line="276" w:lineRule="auto"/>
        <w:jc w:val="both"/>
        <w:rPr>
          <w:rFonts w:ascii="Century Gothic" w:hAnsi="Century Gothic"/>
        </w:rPr>
      </w:pPr>
      <w:r w:rsidRPr="00512CB1">
        <w:rPr>
          <w:rFonts w:ascii="Century Gothic" w:hAnsi="Century Gothic"/>
        </w:rPr>
        <w:t xml:space="preserve">Podsumowanie profilu bezpieczeństwa stosowania </w:t>
      </w:r>
    </w:p>
    <w:p w:rsidR="00BE0BFA" w:rsidRDefault="00BE0BFA" w:rsidP="001214F9">
      <w:pPr>
        <w:pStyle w:val="Tekstpodstawowy"/>
        <w:spacing w:line="276" w:lineRule="auto"/>
        <w:jc w:val="both"/>
        <w:rPr>
          <w:rFonts w:ascii="Century Gothic" w:hAnsi="Century Gothic"/>
        </w:rPr>
      </w:pPr>
      <w:r w:rsidRPr="00BE0BFA">
        <w:rPr>
          <w:rFonts w:ascii="Century Gothic" w:hAnsi="Century Gothic"/>
        </w:rPr>
        <w:t>Najczęściej występującym działaniem niepożądanym były zakażenia dróg oddechowych (około 8%</w:t>
      </w:r>
      <w:r>
        <w:rPr>
          <w:rFonts w:ascii="Century Gothic" w:hAnsi="Century Gothic"/>
        </w:rPr>
        <w:t xml:space="preserve">  </w:t>
      </w:r>
      <w:r w:rsidRPr="00BE0BFA">
        <w:rPr>
          <w:rFonts w:ascii="Century Gothic" w:hAnsi="Century Gothic"/>
        </w:rPr>
        <w:t>pacjentów w badaniach nad wrzodziejącym zapaleniem jelita grubego, 11% pacjentów w badaniach</w:t>
      </w:r>
      <w:r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>nad chorobą Crohna</w:t>
      </w:r>
      <w:r>
        <w:rPr>
          <w:rFonts w:ascii="Century Gothic" w:hAnsi="Century Gothic"/>
        </w:rPr>
        <w:t>.</w:t>
      </w:r>
      <w:r w:rsidRPr="00BE0BFA">
        <w:rPr>
          <w:rFonts w:ascii="Century Gothic" w:hAnsi="Century Gothic"/>
        </w:rPr>
        <w:t xml:space="preserve"> </w:t>
      </w:r>
    </w:p>
    <w:p w:rsidR="00BE0BFA" w:rsidRDefault="00BE0BFA" w:rsidP="00BE0BFA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BE0BFA">
        <w:rPr>
          <w:rFonts w:ascii="Century Gothic" w:hAnsi="Century Gothic"/>
        </w:rPr>
        <w:t xml:space="preserve">Ogólny profil bezpieczeństwa u pacjentów leczonych </w:t>
      </w:r>
      <w:r w:rsidR="001214F9">
        <w:rPr>
          <w:rFonts w:ascii="Century Gothic" w:hAnsi="Century Gothic"/>
        </w:rPr>
        <w:t xml:space="preserve">guselkumabem </w:t>
      </w:r>
      <w:r w:rsidRPr="00BE0BFA">
        <w:rPr>
          <w:rFonts w:ascii="Century Gothic" w:hAnsi="Century Gothic"/>
        </w:rPr>
        <w:t>jest podobny u pacjentów</w:t>
      </w:r>
      <w:r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>wrzodziejącym zapaleniem jelita grubego i chorobą</w:t>
      </w:r>
      <w:r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>Crohna</w:t>
      </w:r>
      <w:r>
        <w:rPr>
          <w:rFonts w:ascii="Century Gothic" w:hAnsi="Century Gothic"/>
        </w:rPr>
        <w:t>.</w:t>
      </w:r>
    </w:p>
    <w:p w:rsidR="001214F9" w:rsidRDefault="001214F9" w:rsidP="00BE0BFA">
      <w:pPr>
        <w:pStyle w:val="Tekstpodstawowy"/>
        <w:spacing w:line="276" w:lineRule="auto"/>
        <w:jc w:val="both"/>
        <w:rPr>
          <w:rFonts w:ascii="Century Gothic" w:hAnsi="Century Gothic"/>
        </w:rPr>
      </w:pPr>
    </w:p>
    <w:p w:rsidR="001214F9" w:rsidRDefault="00BE0BFA" w:rsidP="00BE0BFA">
      <w:pPr>
        <w:pStyle w:val="Tekstpodstawowy"/>
        <w:spacing w:line="276" w:lineRule="auto"/>
        <w:jc w:val="both"/>
        <w:rPr>
          <w:rFonts w:ascii="Century Gothic" w:hAnsi="Century Gothic"/>
        </w:rPr>
      </w:pPr>
      <w:r w:rsidRPr="00BE0BFA">
        <w:rPr>
          <w:rFonts w:ascii="Century Gothic" w:hAnsi="Century Gothic"/>
        </w:rPr>
        <w:t>W tabeli 1 przedstawiono listę działań niepożądanych z badań klinicznych łuszczycy, łuszczycowego</w:t>
      </w:r>
      <w:r w:rsidR="001214F9"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>zapalenia stawów, wrzodziejącego zapalenia jelita grubego i choroby Crohna oraz działań</w:t>
      </w:r>
      <w:r w:rsidR="001214F9"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 xml:space="preserve">niepożądanych zgłoszonych po wprowadzeniu produktu do obrotu. </w:t>
      </w:r>
    </w:p>
    <w:p w:rsidR="00BE0BFA" w:rsidRDefault="00BE0BFA" w:rsidP="00BE0BFA">
      <w:pPr>
        <w:pStyle w:val="Tekstpodstawowy"/>
        <w:spacing w:line="276" w:lineRule="auto"/>
        <w:jc w:val="both"/>
        <w:rPr>
          <w:rFonts w:ascii="Century Gothic" w:hAnsi="Century Gothic"/>
        </w:rPr>
      </w:pPr>
      <w:r w:rsidRPr="00BE0BFA">
        <w:rPr>
          <w:rFonts w:ascii="Century Gothic" w:hAnsi="Century Gothic"/>
        </w:rPr>
        <w:t>Działania niepożądane</w:t>
      </w:r>
      <w:r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 xml:space="preserve">uporządkowano zgodnie z klasyfikacją układów i narządów </w:t>
      </w:r>
      <w:proofErr w:type="spellStart"/>
      <w:r w:rsidRPr="00BE0BFA">
        <w:rPr>
          <w:rFonts w:ascii="Century Gothic" w:hAnsi="Century Gothic"/>
        </w:rPr>
        <w:t>MedDRA</w:t>
      </w:r>
      <w:proofErr w:type="spellEnd"/>
      <w:r w:rsidRPr="00BE0BFA">
        <w:rPr>
          <w:rFonts w:ascii="Century Gothic" w:hAnsi="Century Gothic"/>
        </w:rPr>
        <w:t xml:space="preserve"> oraz częstością występowania,</w:t>
      </w:r>
      <w:r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>stosując następującą konwencję: bardzo często (≥1/10), często (≥1/100 do &lt;1/10), niezbyt często</w:t>
      </w:r>
      <w:r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>(≥1/1000 do &lt;1/100), rzadko (≥1/10 000 do &lt;1/1000), bardzo rzadko (&lt;1/10 000), nieznana (częstość</w:t>
      </w:r>
      <w:r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>nie może być określona na podstawie dostępnych danych). W każdej grupie częstości występowania</w:t>
      </w:r>
      <w:r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>działania niepożądane są przedstawione w kolejności malejącej ciężkości.</w:t>
      </w:r>
    </w:p>
    <w:p w:rsidR="00AA53FA" w:rsidRDefault="00BE0BFA" w:rsidP="00BD1E3F">
      <w:pPr>
        <w:pStyle w:val="Tekstpodstawowy"/>
        <w:spacing w:before="240" w:line="276" w:lineRule="auto"/>
        <w:rPr>
          <w:rFonts w:ascii="Century Gothic" w:hAnsi="Century Gothic"/>
        </w:rPr>
      </w:pPr>
      <w:r>
        <w:rPr>
          <w:rFonts w:ascii="Century Gothic" w:hAnsi="Century Gothic"/>
          <w:noProof/>
          <w:lang w:eastAsia="pl-PL"/>
        </w:rPr>
        <w:lastRenderedPageBreak/>
        <w:drawing>
          <wp:inline distT="0" distB="0" distL="0" distR="0">
            <wp:extent cx="5847080" cy="3519333"/>
            <wp:effectExtent l="1905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080" cy="351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A9F" w:rsidRDefault="00D7315C" w:rsidP="001214F9">
      <w:pPr>
        <w:pStyle w:val="Tekstpodstawowy"/>
        <w:spacing w:before="240" w:line="276" w:lineRule="auto"/>
        <w:rPr>
          <w:rFonts w:ascii="Century Gothic" w:hAnsi="Century Gothic"/>
        </w:rPr>
      </w:pPr>
      <w:r w:rsidRPr="00D7315C">
        <w:rPr>
          <w:rFonts w:ascii="Century Gothic" w:hAnsi="Century Gothic"/>
        </w:rPr>
        <w:t xml:space="preserve">Płodność </w:t>
      </w:r>
    </w:p>
    <w:p w:rsidR="00512CB1" w:rsidRDefault="001214F9" w:rsidP="001214F9">
      <w:pPr>
        <w:pStyle w:val="Tekstpodstawowy"/>
        <w:spacing w:line="276" w:lineRule="auto"/>
        <w:rPr>
          <w:rFonts w:ascii="Century Gothic" w:hAnsi="Century Gothic"/>
        </w:rPr>
      </w:pPr>
      <w:r w:rsidRPr="001214F9">
        <w:rPr>
          <w:rFonts w:ascii="Century Gothic" w:hAnsi="Century Gothic"/>
        </w:rPr>
        <w:t>Nie zbadano wpływu guselkumabu na płodność u ludzi. Badania na zwierzętach nie wykazują</w:t>
      </w:r>
      <w:r>
        <w:rPr>
          <w:rFonts w:ascii="Century Gothic" w:hAnsi="Century Gothic"/>
        </w:rPr>
        <w:t xml:space="preserve"> </w:t>
      </w:r>
      <w:r w:rsidRPr="001214F9">
        <w:rPr>
          <w:rFonts w:ascii="Century Gothic" w:hAnsi="Century Gothic"/>
        </w:rPr>
        <w:t>bezpośredniego ani pośredniego szkodliwego wpływu na płodność</w:t>
      </w:r>
      <w:r w:rsidR="00D7315C" w:rsidRPr="00D7315C">
        <w:rPr>
          <w:rFonts w:ascii="Century Gothic" w:hAnsi="Century Gothic"/>
        </w:rPr>
        <w:t xml:space="preserve">. </w:t>
      </w:r>
    </w:p>
    <w:p w:rsidR="001214F9" w:rsidRDefault="001214F9" w:rsidP="00BD1E3F">
      <w:pPr>
        <w:pStyle w:val="Tekstpodstawowy"/>
        <w:spacing w:line="276" w:lineRule="auto"/>
        <w:rPr>
          <w:rFonts w:ascii="Century Gothic" w:hAnsi="Century Gothic"/>
        </w:rPr>
      </w:pPr>
    </w:p>
    <w:p w:rsidR="005B5A9F" w:rsidRDefault="00D7315C" w:rsidP="005B5A9F">
      <w:pPr>
        <w:pStyle w:val="Tekstpodstawowy"/>
        <w:spacing w:line="276" w:lineRule="auto"/>
        <w:rPr>
          <w:rFonts w:ascii="Century Gothic" w:hAnsi="Century Gothic"/>
        </w:rPr>
      </w:pPr>
      <w:r w:rsidRPr="00D7315C">
        <w:rPr>
          <w:rFonts w:ascii="Century Gothic" w:hAnsi="Century Gothic"/>
        </w:rPr>
        <w:t xml:space="preserve">Wpływ na zdolność prowadzenia pojazdów i obsługiwania maszyn </w:t>
      </w:r>
    </w:p>
    <w:p w:rsidR="00BE0BFA" w:rsidRDefault="001214F9" w:rsidP="005B5A9F">
      <w:pPr>
        <w:pStyle w:val="Tekstpodstawowy"/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Guselkumab </w:t>
      </w:r>
      <w:r w:rsidR="00BE0BFA" w:rsidRPr="00BE0BFA">
        <w:rPr>
          <w:rFonts w:ascii="Century Gothic" w:hAnsi="Century Gothic"/>
        </w:rPr>
        <w:t xml:space="preserve"> nie ma wpływu lub wywiera nieistotny wpływ na zdolność prowadzenia pojazdów i obsługiwania maszyn.</w:t>
      </w:r>
    </w:p>
    <w:p w:rsidR="003E1F6D" w:rsidRPr="002F56EC" w:rsidRDefault="00456268" w:rsidP="00BD1E3F">
      <w:pPr>
        <w:pStyle w:val="Akapitzlist"/>
        <w:numPr>
          <w:ilvl w:val="0"/>
          <w:numId w:val="1"/>
        </w:numPr>
        <w:tabs>
          <w:tab w:val="left" w:pos="348"/>
        </w:tabs>
        <w:spacing w:line="276" w:lineRule="auto"/>
        <w:ind w:left="348" w:hanging="279"/>
        <w:jc w:val="left"/>
        <w:rPr>
          <w:rFonts w:ascii="Century Gothic" w:hAnsi="Century Gothic"/>
          <w:b/>
        </w:rPr>
      </w:pPr>
      <w:r w:rsidRPr="002F56EC">
        <w:rPr>
          <w:rFonts w:ascii="Century Gothic" w:hAnsi="Century Gothic"/>
          <w:b/>
          <w:w w:val="105"/>
        </w:rPr>
        <w:t>Alternatywne</w:t>
      </w:r>
      <w:r w:rsidR="005D1430">
        <w:rPr>
          <w:rFonts w:ascii="Century Gothic" w:hAnsi="Century Gothic"/>
          <w:b/>
          <w:w w:val="105"/>
        </w:rPr>
        <w:t xml:space="preserve"> </w:t>
      </w:r>
      <w:r w:rsidRPr="002F56EC">
        <w:rPr>
          <w:rFonts w:ascii="Century Gothic" w:hAnsi="Century Gothic"/>
          <w:b/>
          <w:w w:val="105"/>
        </w:rPr>
        <w:t>metody</w:t>
      </w:r>
      <w:r w:rsidR="005D1430">
        <w:rPr>
          <w:rFonts w:ascii="Century Gothic" w:hAnsi="Century Gothic"/>
          <w:b/>
          <w:w w:val="105"/>
        </w:rPr>
        <w:t xml:space="preserve"> </w:t>
      </w:r>
      <w:r w:rsidRPr="002F56EC">
        <w:rPr>
          <w:rFonts w:ascii="Century Gothic" w:hAnsi="Century Gothic"/>
          <w:b/>
          <w:spacing w:val="-2"/>
          <w:w w:val="105"/>
        </w:rPr>
        <w:t>leczenia</w:t>
      </w:r>
    </w:p>
    <w:p w:rsidR="003E1F6D" w:rsidRDefault="00456268" w:rsidP="00BD1E3F">
      <w:pPr>
        <w:pStyle w:val="Tekstpodstawowy"/>
        <w:spacing w:before="240" w:line="276" w:lineRule="auto"/>
        <w:ind w:left="70" w:right="25" w:firstLine="2"/>
        <w:jc w:val="both"/>
        <w:rPr>
          <w:rFonts w:ascii="Century Gothic" w:hAnsi="Century Gothic"/>
          <w:spacing w:val="-2"/>
        </w:rPr>
      </w:pPr>
      <w:r w:rsidRPr="00A74753">
        <w:rPr>
          <w:rFonts w:ascii="Century Gothic" w:hAnsi="Century Gothic"/>
        </w:rPr>
        <w:t>Należy podkreślić, że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zaproponowane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 xml:space="preserve">leczenie jest obecnie jedną </w:t>
      </w:r>
      <w:r w:rsidR="00135DE7">
        <w:rPr>
          <w:rFonts w:ascii="Century Gothic" w:hAnsi="Century Gothic"/>
        </w:rPr>
        <w:br/>
      </w:r>
      <w:r w:rsidRPr="00A74753">
        <w:rPr>
          <w:rFonts w:ascii="Century Gothic" w:hAnsi="Century Gothic"/>
        </w:rPr>
        <w:t>z</w:t>
      </w:r>
      <w:r w:rsidR="005D1430">
        <w:rPr>
          <w:rFonts w:ascii="Century Gothic" w:hAnsi="Century Gothic"/>
        </w:rPr>
        <w:t xml:space="preserve"> </w:t>
      </w:r>
      <w:r w:rsidR="00C71605" w:rsidRPr="00A74753">
        <w:rPr>
          <w:rFonts w:ascii="Century Gothic" w:hAnsi="Century Gothic"/>
        </w:rPr>
        <w:t>najnowocześniejszych</w:t>
      </w:r>
      <w:r w:rsidRPr="00A74753">
        <w:rPr>
          <w:rFonts w:ascii="Century Gothic" w:hAnsi="Century Gothic"/>
        </w:rPr>
        <w:t xml:space="preserve"> metod leczenia wynikającą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nieskuteczności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terapii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innymi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metodami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tj.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brakiem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odpowiedzi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 xml:space="preserve">na leczenie </w:t>
      </w:r>
      <w:proofErr w:type="spellStart"/>
      <w:r w:rsidRPr="00A74753">
        <w:rPr>
          <w:rFonts w:ascii="Century Gothic" w:hAnsi="Century Gothic"/>
        </w:rPr>
        <w:t>glikokortykosteroidami</w:t>
      </w:r>
      <w:proofErr w:type="spellEnd"/>
      <w:r w:rsidR="00BE0BFA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i/lub lekami immunosupresyjnymi</w:t>
      </w:r>
      <w:r w:rsidR="00D7315C">
        <w:rPr>
          <w:rFonts w:ascii="Century Gothic" w:hAnsi="Century Gothic"/>
        </w:rPr>
        <w:t xml:space="preserve"> czy</w:t>
      </w:r>
      <w:r w:rsidRPr="00A74753">
        <w:rPr>
          <w:rFonts w:ascii="Century Gothic" w:hAnsi="Century Gothic"/>
        </w:rPr>
        <w:t xml:space="preserve"> innymi lekami </w:t>
      </w:r>
      <w:r w:rsidRPr="00A74753">
        <w:rPr>
          <w:rFonts w:ascii="Century Gothic" w:hAnsi="Century Gothic"/>
          <w:spacing w:val="-2"/>
        </w:rPr>
        <w:t>biologicznymi.</w:t>
      </w:r>
    </w:p>
    <w:p w:rsidR="003E1F6D" w:rsidRPr="002F56EC" w:rsidRDefault="00456268" w:rsidP="00BD1E3F">
      <w:pPr>
        <w:pStyle w:val="Akapitzlist"/>
        <w:numPr>
          <w:ilvl w:val="0"/>
          <w:numId w:val="1"/>
        </w:numPr>
        <w:tabs>
          <w:tab w:val="left" w:pos="274"/>
        </w:tabs>
        <w:spacing w:before="240" w:line="276" w:lineRule="auto"/>
        <w:ind w:left="274" w:hanging="200"/>
        <w:jc w:val="left"/>
        <w:rPr>
          <w:rFonts w:ascii="Century Gothic" w:hAnsi="Century Gothic"/>
          <w:b/>
        </w:rPr>
      </w:pPr>
      <w:r w:rsidRPr="002F56EC">
        <w:rPr>
          <w:rFonts w:ascii="Century Gothic" w:hAnsi="Century Gothic"/>
          <w:b/>
          <w:w w:val="105"/>
        </w:rPr>
        <w:t>Oświadczenie</w:t>
      </w:r>
      <w:r w:rsidR="005D1430">
        <w:rPr>
          <w:rFonts w:ascii="Century Gothic" w:hAnsi="Century Gothic"/>
          <w:b/>
          <w:w w:val="105"/>
        </w:rPr>
        <w:t xml:space="preserve"> </w:t>
      </w:r>
      <w:r w:rsidRPr="002F56EC">
        <w:rPr>
          <w:rFonts w:ascii="Century Gothic" w:hAnsi="Century Gothic"/>
          <w:b/>
          <w:spacing w:val="-2"/>
          <w:w w:val="105"/>
        </w:rPr>
        <w:t>pacjenta</w:t>
      </w:r>
    </w:p>
    <w:p w:rsidR="003E1F6D" w:rsidRPr="00A74753" w:rsidRDefault="00456268" w:rsidP="00D7315C">
      <w:pPr>
        <w:pStyle w:val="Tekstpodstawowy"/>
        <w:spacing w:before="240" w:line="276" w:lineRule="auto"/>
        <w:ind w:left="66" w:firstLine="3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  <w:spacing w:val="-2"/>
        </w:rPr>
        <w:t>Oświadczam,</w:t>
      </w:r>
      <w:r w:rsidR="00135DE7">
        <w:rPr>
          <w:rFonts w:ascii="Century Gothic" w:hAnsi="Century Gothic"/>
          <w:spacing w:val="-2"/>
        </w:rPr>
        <w:t xml:space="preserve"> iż </w:t>
      </w:r>
      <w:r w:rsidRPr="00A74753">
        <w:rPr>
          <w:rFonts w:ascii="Century Gothic" w:hAnsi="Century Gothic"/>
          <w:spacing w:val="-2"/>
        </w:rPr>
        <w:t>uzyskałem/-am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>wszelkie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 xml:space="preserve"> wyjaśnienia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>dotyczące udzielanych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 xml:space="preserve">świadczeń </w:t>
      </w:r>
      <w:r w:rsidRPr="00A74753">
        <w:rPr>
          <w:rFonts w:ascii="Century Gothic" w:hAnsi="Century Gothic"/>
        </w:rPr>
        <w:t>zdrowotnych w moim przypadku.</w:t>
      </w:r>
    </w:p>
    <w:p w:rsidR="003E1F6D" w:rsidRPr="00A74753" w:rsidRDefault="00456268" w:rsidP="00D7315C">
      <w:pPr>
        <w:pStyle w:val="Tekstpodstawowy"/>
        <w:spacing w:before="240" w:line="276" w:lineRule="auto"/>
        <w:ind w:left="66" w:right="521" w:firstLine="4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Zostałem/-am poinformowany/-a o ryzyku związanym z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udzieleniem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świadczenia zdrowotnego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konsekwencjach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wynikających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zaniechania zleconych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świadczeń z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ich samowolną modyfikacją włącznie.</w:t>
      </w:r>
    </w:p>
    <w:p w:rsidR="003E1F6D" w:rsidRPr="00A74753" w:rsidRDefault="00456268" w:rsidP="00D7315C">
      <w:pPr>
        <w:pStyle w:val="Tekstpodstawowy"/>
        <w:spacing w:before="240" w:line="276" w:lineRule="auto"/>
        <w:ind w:left="66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Zostałem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poinformowany/-a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o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możliwości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zastosowania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alternatywnych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  <w:spacing w:val="-2"/>
        </w:rPr>
        <w:t>świadczeń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>zdrowotnych.</w:t>
      </w:r>
    </w:p>
    <w:p w:rsidR="003E1F6D" w:rsidRPr="00A74753" w:rsidRDefault="00456268" w:rsidP="00D7315C">
      <w:pPr>
        <w:pStyle w:val="Tekstpodstawowy"/>
        <w:spacing w:before="240" w:line="276" w:lineRule="auto"/>
        <w:ind w:left="68" w:hanging="3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Zapewniono mi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nie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ograniczone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możliwości zadawania pytań dotyczących udzielanych świadczeń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na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wszystkie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udzielono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mi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wyczerpujących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zrozumiałych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 xml:space="preserve">odpowiedzi oraz </w:t>
      </w:r>
      <w:r w:rsidRPr="00A74753">
        <w:rPr>
          <w:rFonts w:ascii="Century Gothic" w:hAnsi="Century Gothic"/>
          <w:spacing w:val="-2"/>
        </w:rPr>
        <w:t>wyjaśnień.</w:t>
      </w:r>
    </w:p>
    <w:p w:rsidR="003E1F6D" w:rsidRPr="00A74753" w:rsidRDefault="00456268" w:rsidP="00D7315C">
      <w:pPr>
        <w:pStyle w:val="Tekstpodstawowy"/>
        <w:spacing w:before="240" w:line="276" w:lineRule="auto"/>
        <w:ind w:left="66" w:right="907" w:hanging="1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Znane mi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są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możliwe reakcje organizmu po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 xml:space="preserve">udzieleniu świadczenia </w:t>
      </w:r>
      <w:r w:rsidR="006002B2">
        <w:rPr>
          <w:rFonts w:ascii="Century Gothic" w:hAnsi="Century Gothic"/>
        </w:rPr>
        <w:br/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 xml:space="preserve">jednocześnie </w:t>
      </w:r>
      <w:r w:rsidRPr="00A74753">
        <w:rPr>
          <w:rFonts w:ascii="Century Gothic" w:hAnsi="Century Gothic"/>
          <w:spacing w:val="-2"/>
        </w:rPr>
        <w:t>zobowiązuję się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>do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>niezwłocznego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>informowania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 xml:space="preserve">ośrodka </w:t>
      </w:r>
      <w:r w:rsidRPr="00A74753">
        <w:rPr>
          <w:rFonts w:ascii="Century Gothic" w:hAnsi="Century Gothic"/>
          <w:spacing w:val="-2"/>
        </w:rPr>
        <w:lastRenderedPageBreak/>
        <w:t>udzielającego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 xml:space="preserve">świadczenie </w:t>
      </w:r>
      <w:r w:rsidRPr="00A74753">
        <w:rPr>
          <w:rFonts w:ascii="Century Gothic" w:hAnsi="Century Gothic"/>
        </w:rPr>
        <w:t>o zmianach statusu zdrowia.</w:t>
      </w:r>
    </w:p>
    <w:p w:rsidR="005B5A9F" w:rsidRDefault="004725CF" w:rsidP="005B5A9F">
      <w:pPr>
        <w:pStyle w:val="Tekstpodstawowy"/>
        <w:spacing w:line="276" w:lineRule="auto"/>
        <w:rPr>
          <w:rFonts w:ascii="Century Gothic" w:hAnsi="Century Gothic"/>
          <w:b/>
          <w:spacing w:val="-2"/>
          <w:position w:val="1"/>
          <w:u w:val="single" w:color="383844"/>
        </w:rPr>
      </w:pPr>
      <w:r w:rsidRPr="00A74753">
        <w:rPr>
          <w:rFonts w:ascii="Century Gothic" w:hAnsi="Century Gothic"/>
          <w:b/>
          <w:position w:val="1"/>
          <w:u w:val="single" w:color="383844"/>
        </w:rPr>
        <w:t>Doty</w:t>
      </w:r>
      <w:r w:rsidR="00456268" w:rsidRPr="00A74753">
        <w:rPr>
          <w:rFonts w:ascii="Century Gothic" w:hAnsi="Century Gothic"/>
          <w:b/>
          <w:position w:val="1"/>
          <w:u w:val="single" w:color="383844"/>
        </w:rPr>
        <w:t>czy</w:t>
      </w:r>
      <w:r w:rsidR="006002B2">
        <w:rPr>
          <w:rFonts w:ascii="Century Gothic" w:hAnsi="Century Gothic"/>
          <w:b/>
          <w:position w:val="1"/>
          <w:u w:val="single" w:color="383844"/>
        </w:rPr>
        <w:t xml:space="preserve">  k</w:t>
      </w:r>
      <w:r w:rsidR="00456268" w:rsidRPr="00A74753">
        <w:rPr>
          <w:rFonts w:ascii="Century Gothic" w:hAnsi="Century Gothic"/>
          <w:b/>
          <w:spacing w:val="-2"/>
          <w:position w:val="1"/>
          <w:u w:val="single" w:color="383844"/>
        </w:rPr>
        <w:t>obiet:</w:t>
      </w:r>
    </w:p>
    <w:p w:rsidR="00BE0BFA" w:rsidRDefault="00BE0BFA" w:rsidP="005B5A9F">
      <w:pPr>
        <w:pStyle w:val="Tekstpodstawowy"/>
        <w:spacing w:line="276" w:lineRule="auto"/>
        <w:rPr>
          <w:rFonts w:ascii="Century Gothic" w:hAnsi="Century Gothic"/>
        </w:rPr>
      </w:pPr>
      <w:r w:rsidRPr="00BE0BFA">
        <w:rPr>
          <w:rFonts w:ascii="Century Gothic" w:hAnsi="Century Gothic"/>
        </w:rPr>
        <w:t>Kobiety w wieku rozrodczym powinny stosować skuteczne metody antykoncepcyjne podczas</w:t>
      </w:r>
      <w:r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 xml:space="preserve">przyjmowania </w:t>
      </w:r>
      <w:r w:rsidR="001214F9">
        <w:rPr>
          <w:rFonts w:ascii="Century Gothic" w:hAnsi="Century Gothic"/>
        </w:rPr>
        <w:t xml:space="preserve">guselkumabu </w:t>
      </w:r>
      <w:r w:rsidRPr="00BE0BFA">
        <w:rPr>
          <w:rFonts w:ascii="Century Gothic" w:hAnsi="Century Gothic"/>
        </w:rPr>
        <w:t>i przez co najmniej 12 tygodni po jego zakończeniu.</w:t>
      </w:r>
    </w:p>
    <w:p w:rsidR="005B5A9F" w:rsidRDefault="005B5A9F" w:rsidP="00BD1E3F">
      <w:pPr>
        <w:pStyle w:val="Tekstpodstawowy"/>
        <w:spacing w:line="276" w:lineRule="auto"/>
        <w:jc w:val="both"/>
        <w:rPr>
          <w:rFonts w:ascii="Century Gothic" w:hAnsi="Century Gothic"/>
        </w:rPr>
      </w:pPr>
    </w:p>
    <w:p w:rsidR="00C71605" w:rsidRPr="00A74753" w:rsidRDefault="00C71605" w:rsidP="00BD1E3F">
      <w:pPr>
        <w:pStyle w:val="Tekstpodstawowy"/>
        <w:spacing w:line="276" w:lineRule="auto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Ciąża</w:t>
      </w:r>
    </w:p>
    <w:p w:rsidR="00BE0BFA" w:rsidRDefault="00BE0BFA" w:rsidP="00BD1E3F">
      <w:pPr>
        <w:pStyle w:val="Tekstpodstawowy"/>
        <w:spacing w:line="276" w:lineRule="auto"/>
        <w:jc w:val="both"/>
        <w:rPr>
          <w:rFonts w:ascii="Century Gothic" w:hAnsi="Century Gothic"/>
        </w:rPr>
      </w:pPr>
      <w:r w:rsidRPr="00BE0BFA">
        <w:rPr>
          <w:rFonts w:ascii="Century Gothic" w:hAnsi="Century Gothic"/>
        </w:rPr>
        <w:t>Istnieją ograniczone dane dotyczące stosowania guselkumabu u kobiet w ciąży. Badania na zwierzętach nie wykazują bezpośredniego ani pośredniego szkodliwego wpływu na przebieg ciąży, rozwój zarodka i płodu, przebieg porodu lub rozwój</w:t>
      </w:r>
      <w:r>
        <w:rPr>
          <w:rFonts w:ascii="Century Gothic" w:hAnsi="Century Gothic"/>
        </w:rPr>
        <w:t xml:space="preserve"> pourodzeniowy</w:t>
      </w:r>
      <w:r w:rsidRPr="00BE0BFA">
        <w:rPr>
          <w:rFonts w:ascii="Century Gothic" w:hAnsi="Century Gothic"/>
        </w:rPr>
        <w:t xml:space="preserve">. Jako środek ostrożności zaleca się unikanie stosowania produktu </w:t>
      </w:r>
      <w:r w:rsidR="001214F9">
        <w:rPr>
          <w:rFonts w:ascii="Century Gothic" w:hAnsi="Century Gothic"/>
        </w:rPr>
        <w:t xml:space="preserve">guselkumabu </w:t>
      </w:r>
      <w:r w:rsidRPr="00BE0BFA">
        <w:rPr>
          <w:rFonts w:ascii="Century Gothic" w:hAnsi="Century Gothic"/>
        </w:rPr>
        <w:t xml:space="preserve"> w czasie ciąży.</w:t>
      </w:r>
      <w:r w:rsidRPr="00A74753">
        <w:rPr>
          <w:rFonts w:ascii="Century Gothic" w:hAnsi="Century Gothic"/>
        </w:rPr>
        <w:t xml:space="preserve"> </w:t>
      </w:r>
    </w:p>
    <w:p w:rsidR="00C71605" w:rsidRPr="00A74753" w:rsidRDefault="00C71605" w:rsidP="00BD1E3F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Karmienie piersią</w:t>
      </w:r>
    </w:p>
    <w:p w:rsidR="001214F9" w:rsidRDefault="001214F9" w:rsidP="001214F9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1214F9">
        <w:rPr>
          <w:rFonts w:ascii="Century Gothic" w:hAnsi="Century Gothic"/>
        </w:rPr>
        <w:t>Nie wiadomo, czy guselkumab przenika do mleka ludzkiego. Wiadomo, że ludzkie przeciwciała IgG</w:t>
      </w:r>
      <w:r>
        <w:rPr>
          <w:rFonts w:ascii="Century Gothic" w:hAnsi="Century Gothic"/>
        </w:rPr>
        <w:t xml:space="preserve"> </w:t>
      </w:r>
      <w:r w:rsidRPr="001214F9">
        <w:rPr>
          <w:rFonts w:ascii="Century Gothic" w:hAnsi="Century Gothic"/>
        </w:rPr>
        <w:t>przenikają do mleka matki w ciągu pierwszych kilku dni po urodzeniu, a wkrótce potem stężenia</w:t>
      </w:r>
      <w:r>
        <w:rPr>
          <w:rFonts w:ascii="Century Gothic" w:hAnsi="Century Gothic"/>
        </w:rPr>
        <w:t xml:space="preserve"> </w:t>
      </w:r>
      <w:r w:rsidRPr="001214F9">
        <w:rPr>
          <w:rFonts w:ascii="Century Gothic" w:hAnsi="Century Gothic"/>
        </w:rPr>
        <w:t>zmniejszają się; w związku z tym nie można wykluczyć ryzyka dla niemowlęcia karmionego piersią</w:t>
      </w:r>
      <w:r>
        <w:rPr>
          <w:rFonts w:ascii="Century Gothic" w:hAnsi="Century Gothic"/>
        </w:rPr>
        <w:t xml:space="preserve"> </w:t>
      </w:r>
      <w:r w:rsidRPr="001214F9">
        <w:rPr>
          <w:rFonts w:ascii="Century Gothic" w:hAnsi="Century Gothic"/>
        </w:rPr>
        <w:t>w tym okresie. Należy podjąć decyzję, czy przerwać karmienie piersią lub powstrzymać się od</w:t>
      </w:r>
      <w:r>
        <w:rPr>
          <w:rFonts w:ascii="Century Gothic" w:hAnsi="Century Gothic"/>
        </w:rPr>
        <w:t xml:space="preserve"> </w:t>
      </w:r>
      <w:r w:rsidRPr="001214F9">
        <w:rPr>
          <w:rFonts w:ascii="Century Gothic" w:hAnsi="Century Gothic"/>
        </w:rPr>
        <w:t xml:space="preserve">leczenia </w:t>
      </w:r>
      <w:r>
        <w:rPr>
          <w:rFonts w:ascii="Century Gothic" w:hAnsi="Century Gothic"/>
        </w:rPr>
        <w:t>guselkumabem</w:t>
      </w:r>
      <w:r w:rsidRPr="001214F9">
        <w:rPr>
          <w:rFonts w:ascii="Century Gothic" w:hAnsi="Century Gothic"/>
        </w:rPr>
        <w:t>, biorąc pod uwagę korzyści z karmienia piersią dla dziecka i korzyści</w:t>
      </w:r>
      <w:r>
        <w:rPr>
          <w:rFonts w:ascii="Century Gothic" w:hAnsi="Century Gothic"/>
        </w:rPr>
        <w:t xml:space="preserve"> </w:t>
      </w:r>
      <w:r w:rsidRPr="001214F9">
        <w:rPr>
          <w:rFonts w:ascii="Century Gothic" w:hAnsi="Century Gothic"/>
        </w:rPr>
        <w:t>z leczenia dla matki. Informacje dotyczące przenikania guselkumabu do mleka u zwierząt (makaki</w:t>
      </w:r>
      <w:r>
        <w:rPr>
          <w:rFonts w:ascii="Century Gothic" w:hAnsi="Century Gothic"/>
        </w:rPr>
        <w:t xml:space="preserve"> </w:t>
      </w:r>
      <w:proofErr w:type="spellStart"/>
      <w:r w:rsidRPr="001214F9">
        <w:rPr>
          <w:rFonts w:ascii="Century Gothic" w:hAnsi="Century Gothic"/>
        </w:rPr>
        <w:t>cynomolgus</w:t>
      </w:r>
      <w:proofErr w:type="spellEnd"/>
      <w:r w:rsidRPr="001214F9">
        <w:rPr>
          <w:rFonts w:ascii="Century Gothic" w:hAnsi="Century Gothic"/>
        </w:rPr>
        <w:t>)</w:t>
      </w:r>
      <w:r>
        <w:rPr>
          <w:rFonts w:ascii="Century Gothic" w:hAnsi="Century Gothic"/>
        </w:rPr>
        <w:t>.</w:t>
      </w:r>
    </w:p>
    <w:p w:rsidR="002F56EC" w:rsidRDefault="00C71605" w:rsidP="00BD1E3F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Wyrażam świadomą zgodę na kontrole urodzeń w trakcie leczeni</w:t>
      </w:r>
      <w:r w:rsidR="00D7315C">
        <w:rPr>
          <w:rFonts w:ascii="Century Gothic" w:hAnsi="Century Gothic"/>
        </w:rPr>
        <w:t>a</w:t>
      </w:r>
      <w:r w:rsidRPr="00A74753">
        <w:rPr>
          <w:rFonts w:ascii="Century Gothic" w:hAnsi="Century Gothic"/>
        </w:rPr>
        <w:t xml:space="preserve"> i </w:t>
      </w:r>
      <w:proofErr w:type="spellStart"/>
      <w:r w:rsidR="00D7315C" w:rsidRPr="00D7315C">
        <w:rPr>
          <w:rFonts w:ascii="Century Gothic" w:hAnsi="Century Gothic"/>
        </w:rPr>
        <w:t>i</w:t>
      </w:r>
      <w:proofErr w:type="spellEnd"/>
      <w:r w:rsidR="00D7315C" w:rsidRPr="00D7315C">
        <w:rPr>
          <w:rFonts w:ascii="Century Gothic" w:hAnsi="Century Gothic"/>
        </w:rPr>
        <w:t xml:space="preserve"> przez co najmniej </w:t>
      </w:r>
      <w:r w:rsidR="001214F9">
        <w:rPr>
          <w:rFonts w:ascii="Century Gothic" w:hAnsi="Century Gothic"/>
        </w:rPr>
        <w:t>12</w:t>
      </w:r>
      <w:r w:rsidR="00D7315C" w:rsidRPr="00D7315C">
        <w:rPr>
          <w:rFonts w:ascii="Century Gothic" w:hAnsi="Century Gothic"/>
        </w:rPr>
        <w:t xml:space="preserve"> tygodni po jego zakończeniu.</w:t>
      </w:r>
    </w:p>
    <w:p w:rsidR="003E1F6D" w:rsidRPr="00A74753" w:rsidRDefault="00BD1E3F" w:rsidP="00BD1E3F">
      <w:pPr>
        <w:pStyle w:val="Tekstpodstawowy"/>
        <w:spacing w:line="276" w:lineRule="auto"/>
        <w:jc w:val="both"/>
        <w:rPr>
          <w:rFonts w:ascii="Century Gothic" w:hAnsi="Century Gothic"/>
          <w:b/>
        </w:rPr>
      </w:pPr>
      <w:r w:rsidRPr="00A74753">
        <w:rPr>
          <w:rFonts w:ascii="Century Gothic" w:hAnsi="Century Gothic"/>
          <w:b/>
        </w:rPr>
        <w:t>Z</w:t>
      </w:r>
      <w:r w:rsidR="00456268" w:rsidRPr="00A74753">
        <w:rPr>
          <w:rFonts w:ascii="Century Gothic" w:hAnsi="Century Gothic"/>
          <w:b/>
        </w:rPr>
        <w:t>goda</w:t>
      </w:r>
      <w:r w:rsidR="00080131">
        <w:rPr>
          <w:rFonts w:ascii="Century Gothic" w:hAnsi="Century Gothic"/>
          <w:b/>
        </w:rPr>
        <w:t xml:space="preserve"> </w:t>
      </w:r>
      <w:r w:rsidR="00456268" w:rsidRPr="00A74753">
        <w:rPr>
          <w:rFonts w:ascii="Century Gothic" w:hAnsi="Century Gothic"/>
          <w:b/>
        </w:rPr>
        <w:t>na</w:t>
      </w:r>
      <w:r w:rsidR="00080131">
        <w:rPr>
          <w:rFonts w:ascii="Century Gothic" w:hAnsi="Century Gothic"/>
          <w:b/>
        </w:rPr>
        <w:t xml:space="preserve"> </w:t>
      </w:r>
      <w:r w:rsidR="00456268" w:rsidRPr="00A74753">
        <w:rPr>
          <w:rFonts w:ascii="Century Gothic" w:hAnsi="Century Gothic"/>
          <w:b/>
          <w:spacing w:val="-2"/>
        </w:rPr>
        <w:t>leczenie</w:t>
      </w:r>
    </w:p>
    <w:p w:rsidR="003E1F6D" w:rsidRPr="00A74753" w:rsidRDefault="00456268" w:rsidP="005B5A9F">
      <w:pPr>
        <w:pStyle w:val="Tekstpodstawowy"/>
        <w:spacing w:line="276" w:lineRule="auto"/>
        <w:ind w:left="35" w:right="521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Wyrażam</w:t>
      </w:r>
      <w:r w:rsidR="005D1430">
        <w:rPr>
          <w:rFonts w:ascii="Century Gothic" w:hAnsi="Century Gothic"/>
        </w:rPr>
        <w:t xml:space="preserve"> </w:t>
      </w:r>
      <w:r w:rsidR="004725CF" w:rsidRPr="00A74753">
        <w:rPr>
          <w:rFonts w:ascii="Century Gothic" w:hAnsi="Century Gothic"/>
        </w:rPr>
        <w:t>zgodę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na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zaproponowane mi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leczenie</w:t>
      </w:r>
      <w:r w:rsidR="005D1430">
        <w:rPr>
          <w:rFonts w:ascii="Century Gothic" w:hAnsi="Century Gothic"/>
        </w:rPr>
        <w:t xml:space="preserve"> </w:t>
      </w:r>
      <w:r w:rsidR="00976F35">
        <w:rPr>
          <w:rFonts w:ascii="Century Gothic" w:hAnsi="Century Gothic"/>
        </w:rPr>
        <w:t>Wrzodziejącego Zapalenia Jelita Grubego</w:t>
      </w:r>
      <w:r w:rsidR="00C414DA">
        <w:rPr>
          <w:rFonts w:ascii="Century Gothic" w:hAnsi="Century Gothic"/>
        </w:rPr>
        <w:t xml:space="preserve"> w ramach Programu Lekowego</w:t>
      </w:r>
      <w:r w:rsidR="00976F35" w:rsidRPr="00A74753">
        <w:rPr>
          <w:rFonts w:ascii="Century Gothic" w:hAnsi="Century Gothic"/>
        </w:rPr>
        <w:t xml:space="preserve"> </w:t>
      </w:r>
      <w:r w:rsidR="00976F35">
        <w:rPr>
          <w:rFonts w:ascii="Century Gothic" w:hAnsi="Century Gothic"/>
        </w:rPr>
        <w:t xml:space="preserve">substancją leczniczą </w:t>
      </w:r>
      <w:r w:rsidR="001214F9">
        <w:rPr>
          <w:rFonts w:ascii="Century Gothic" w:hAnsi="Century Gothic"/>
          <w:b/>
          <w:spacing w:val="-2"/>
        </w:rPr>
        <w:t>Guselkumab</w:t>
      </w:r>
      <w:r w:rsidRPr="00A74753">
        <w:rPr>
          <w:rFonts w:ascii="Century Gothic" w:hAnsi="Century Gothic"/>
        </w:rPr>
        <w:t>.</w:t>
      </w:r>
    </w:p>
    <w:p w:rsidR="003E1F6D" w:rsidRPr="00A74753" w:rsidRDefault="00456268" w:rsidP="006002B2">
      <w:pPr>
        <w:pStyle w:val="Tekstpodstawowy"/>
        <w:spacing w:before="240" w:line="276" w:lineRule="auto"/>
        <w:ind w:left="34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Data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czytelny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podpis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pacjenta/</w:t>
      </w:r>
      <w:r w:rsidR="004725CF" w:rsidRPr="00A74753">
        <w:rPr>
          <w:rFonts w:ascii="Century Gothic" w:hAnsi="Century Gothic"/>
        </w:rPr>
        <w:t>przedstawiciela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  <w:spacing w:val="-2"/>
        </w:rPr>
        <w:t>ustawowego:</w:t>
      </w:r>
    </w:p>
    <w:p w:rsidR="003E1F6D" w:rsidRPr="00A74753" w:rsidRDefault="00C71605" w:rsidP="006002B2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…………………………………………………………………………………………………………..</w:t>
      </w:r>
    </w:p>
    <w:p w:rsidR="003E1F6D" w:rsidRPr="00A74753" w:rsidRDefault="00456268" w:rsidP="00BD1E3F">
      <w:pPr>
        <w:pStyle w:val="Tekstpodstawowy"/>
        <w:spacing w:before="240" w:line="276" w:lineRule="auto"/>
        <w:ind w:left="34"/>
        <w:rPr>
          <w:rFonts w:ascii="Century Gothic" w:hAnsi="Century Gothic"/>
          <w:spacing w:val="-10"/>
        </w:rPr>
      </w:pPr>
      <w:r w:rsidRPr="00A74753">
        <w:rPr>
          <w:rFonts w:ascii="Century Gothic" w:hAnsi="Century Gothic"/>
        </w:rPr>
        <w:t>Data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podpis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lekarza</w:t>
      </w:r>
      <w:r w:rsidR="006002B2">
        <w:rPr>
          <w:rFonts w:ascii="Century Gothic" w:hAnsi="Century Gothic"/>
        </w:rPr>
        <w:t>:</w:t>
      </w:r>
    </w:p>
    <w:p w:rsidR="00C71605" w:rsidRPr="00A74753" w:rsidRDefault="00C71605" w:rsidP="00BD1E3F">
      <w:pPr>
        <w:pStyle w:val="Tekstpodstawowy"/>
        <w:spacing w:before="240" w:line="276" w:lineRule="auto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…………………………………………………………………………………………………………..</w:t>
      </w:r>
    </w:p>
    <w:p w:rsidR="003E1F6D" w:rsidRPr="00A74753" w:rsidRDefault="00456268" w:rsidP="00BD1E3F">
      <w:pPr>
        <w:pStyle w:val="Tekstpodstawowy"/>
        <w:spacing w:line="276" w:lineRule="auto"/>
        <w:ind w:left="39"/>
        <w:rPr>
          <w:rFonts w:ascii="Century Gothic" w:hAnsi="Century Gothic"/>
          <w:b/>
          <w:spacing w:val="-2"/>
          <w:position w:val="1"/>
        </w:rPr>
      </w:pPr>
      <w:r w:rsidRPr="00A74753">
        <w:rPr>
          <w:rFonts w:ascii="Century Gothic" w:hAnsi="Century Gothic"/>
          <w:b/>
          <w:position w:val="1"/>
        </w:rPr>
        <w:t>Nie</w:t>
      </w:r>
      <w:r w:rsidR="005D1430">
        <w:rPr>
          <w:rFonts w:ascii="Century Gothic" w:hAnsi="Century Gothic"/>
          <w:b/>
          <w:position w:val="1"/>
        </w:rPr>
        <w:t xml:space="preserve"> </w:t>
      </w:r>
      <w:r w:rsidRPr="00A74753">
        <w:rPr>
          <w:rFonts w:ascii="Century Gothic" w:hAnsi="Century Gothic"/>
          <w:b/>
          <w:position w:val="1"/>
        </w:rPr>
        <w:t>wyrażam</w:t>
      </w:r>
      <w:r w:rsidR="005D1430">
        <w:rPr>
          <w:rFonts w:ascii="Century Gothic" w:hAnsi="Century Gothic"/>
          <w:b/>
          <w:position w:val="1"/>
        </w:rPr>
        <w:t xml:space="preserve"> </w:t>
      </w:r>
      <w:r w:rsidR="004725CF" w:rsidRPr="00A74753">
        <w:rPr>
          <w:rFonts w:ascii="Century Gothic" w:hAnsi="Century Gothic"/>
          <w:b/>
          <w:position w:val="2"/>
        </w:rPr>
        <w:t xml:space="preserve">zgody </w:t>
      </w:r>
      <w:r w:rsidRPr="00A74753">
        <w:rPr>
          <w:rFonts w:ascii="Century Gothic" w:hAnsi="Century Gothic"/>
          <w:b/>
          <w:position w:val="1"/>
        </w:rPr>
        <w:t>na</w:t>
      </w:r>
      <w:r w:rsidR="005D1430">
        <w:rPr>
          <w:rFonts w:ascii="Century Gothic" w:hAnsi="Century Gothic"/>
          <w:b/>
          <w:position w:val="1"/>
        </w:rPr>
        <w:t xml:space="preserve"> </w:t>
      </w:r>
      <w:r w:rsidRPr="00A74753">
        <w:rPr>
          <w:rFonts w:ascii="Century Gothic" w:hAnsi="Century Gothic"/>
          <w:b/>
          <w:position w:val="1"/>
        </w:rPr>
        <w:t>zaproponowane</w:t>
      </w:r>
      <w:r w:rsidR="005D1430">
        <w:rPr>
          <w:rFonts w:ascii="Century Gothic" w:hAnsi="Century Gothic"/>
          <w:b/>
          <w:position w:val="1"/>
        </w:rPr>
        <w:t xml:space="preserve"> </w:t>
      </w:r>
      <w:r w:rsidRPr="00A74753">
        <w:rPr>
          <w:rFonts w:ascii="Century Gothic" w:hAnsi="Century Gothic"/>
          <w:b/>
          <w:spacing w:val="-2"/>
          <w:position w:val="1"/>
        </w:rPr>
        <w:t>leczenie.</w:t>
      </w:r>
      <w:r w:rsidR="004E5E03" w:rsidRPr="00A74753">
        <w:rPr>
          <w:rFonts w:ascii="Century Gothic" w:hAnsi="Century Gothic"/>
          <w:b/>
          <w:spacing w:val="-2"/>
          <w:position w:val="1"/>
        </w:rPr>
        <w:t xml:space="preserve"> Zostałem/am poinformowany/a</w:t>
      </w:r>
      <w:r w:rsidR="004E5E03" w:rsidRPr="00A74753">
        <w:rPr>
          <w:rFonts w:ascii="Century Gothic" w:hAnsi="Century Gothic"/>
          <w:b/>
          <w:spacing w:val="-2"/>
          <w:position w:val="1"/>
        </w:rPr>
        <w:br/>
        <w:t xml:space="preserve"> o skutkach odmowy zgody na proponowane leczenie.</w:t>
      </w:r>
    </w:p>
    <w:p w:rsidR="004E5E03" w:rsidRPr="00A74753" w:rsidRDefault="004E5E03" w:rsidP="00BD1E3F">
      <w:pPr>
        <w:pStyle w:val="Tekstpodstawowy"/>
        <w:spacing w:line="276" w:lineRule="auto"/>
        <w:ind w:left="39"/>
        <w:rPr>
          <w:rFonts w:ascii="Century Gothic" w:hAnsi="Century Gothic"/>
          <w:spacing w:val="-2"/>
          <w:position w:val="1"/>
        </w:rPr>
      </w:pPr>
      <w:r w:rsidRPr="00A74753">
        <w:rPr>
          <w:rFonts w:ascii="Century Gothic" w:hAnsi="Century Gothic"/>
          <w:spacing w:val="-2"/>
          <w:position w:val="1"/>
        </w:rPr>
        <w:t>Uzasadnienie przez pacjenta/opiekuna prawnego odmowy wyrażenia zgodny na proponowane leczenie.</w:t>
      </w:r>
    </w:p>
    <w:p w:rsidR="004E5E03" w:rsidRPr="00A74753" w:rsidRDefault="004E5E03" w:rsidP="004E5E03">
      <w:pPr>
        <w:pStyle w:val="Tekstpodstawowy"/>
        <w:spacing w:before="240" w:line="276" w:lineRule="auto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…………………………………………………………………………………………………………..</w:t>
      </w:r>
    </w:p>
    <w:p w:rsidR="003E1F6D" w:rsidRPr="00A74753" w:rsidRDefault="00456268" w:rsidP="00BD1E3F">
      <w:pPr>
        <w:pStyle w:val="Tekstpodstawowy"/>
        <w:spacing w:before="240" w:line="276" w:lineRule="auto"/>
        <w:ind w:left="29"/>
        <w:rPr>
          <w:rFonts w:ascii="Century Gothic" w:hAnsi="Century Gothic"/>
        </w:rPr>
      </w:pPr>
      <w:r w:rsidRPr="00A74753">
        <w:rPr>
          <w:rFonts w:ascii="Century Gothic" w:hAnsi="Century Gothic"/>
        </w:rPr>
        <w:t>Data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czytelny podpis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pacjenta/</w:t>
      </w:r>
      <w:r w:rsidR="004725CF" w:rsidRPr="00A74753">
        <w:rPr>
          <w:rFonts w:ascii="Century Gothic" w:hAnsi="Century Gothic"/>
        </w:rPr>
        <w:t>przedstawiciela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  <w:spacing w:val="-2"/>
        </w:rPr>
        <w:t>ustawowego:</w:t>
      </w:r>
    </w:p>
    <w:p w:rsidR="00C71605" w:rsidRPr="00A74753" w:rsidRDefault="00C71605" w:rsidP="00BD1E3F">
      <w:pPr>
        <w:pStyle w:val="Tekstpodstawowy"/>
        <w:spacing w:before="240" w:line="276" w:lineRule="auto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…………………………………………………………………………………………………………..</w:t>
      </w:r>
    </w:p>
    <w:p w:rsidR="003E1F6D" w:rsidRPr="00A74753" w:rsidRDefault="00456268" w:rsidP="00BD1E3F">
      <w:pPr>
        <w:pStyle w:val="Tekstpodstawowy"/>
        <w:spacing w:before="240" w:line="276" w:lineRule="auto"/>
        <w:ind w:left="24"/>
        <w:rPr>
          <w:rFonts w:ascii="Century Gothic" w:hAnsi="Century Gothic"/>
          <w:spacing w:val="12"/>
        </w:rPr>
      </w:pPr>
      <w:r w:rsidRPr="00A74753">
        <w:rPr>
          <w:rFonts w:ascii="Century Gothic" w:hAnsi="Century Gothic"/>
        </w:rPr>
        <w:t>Data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 xml:space="preserve"> 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podpis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lekarza</w:t>
      </w:r>
      <w:r w:rsidR="000622E8">
        <w:rPr>
          <w:rFonts w:ascii="Century Gothic" w:hAnsi="Century Gothic"/>
        </w:rPr>
        <w:t>:</w:t>
      </w:r>
    </w:p>
    <w:p w:rsidR="00BD1E3F" w:rsidRPr="00A74753" w:rsidRDefault="00C71605" w:rsidP="00BD1E3F">
      <w:pPr>
        <w:pStyle w:val="Tekstpodstawowy"/>
        <w:spacing w:before="240" w:line="276" w:lineRule="auto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…………………………………………………………………………………………………………..</w:t>
      </w:r>
    </w:p>
    <w:sectPr w:rsidR="00BD1E3F" w:rsidRPr="00A74753" w:rsidSect="004E5E03">
      <w:headerReference w:type="default" r:id="rId8"/>
      <w:pgSz w:w="11900" w:h="16820"/>
      <w:pgMar w:top="568" w:right="1275" w:bottom="426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DCA" w:rsidRDefault="006A3DCA" w:rsidP="004725CF">
      <w:r>
        <w:separator/>
      </w:r>
    </w:p>
  </w:endnote>
  <w:endnote w:type="continuationSeparator" w:id="0">
    <w:p w:rsidR="006A3DCA" w:rsidRDefault="006A3DCA" w:rsidP="00472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DCA" w:rsidRDefault="006A3DCA" w:rsidP="004725CF">
      <w:r>
        <w:separator/>
      </w:r>
    </w:p>
  </w:footnote>
  <w:footnote w:type="continuationSeparator" w:id="0">
    <w:p w:rsidR="006A3DCA" w:rsidRDefault="006A3DCA" w:rsidP="00472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131" w:rsidRPr="00080131" w:rsidRDefault="00080131" w:rsidP="00080131">
    <w:pPr>
      <w:pStyle w:val="Nagwek"/>
      <w:jc w:val="right"/>
      <w:rPr>
        <w:rFonts w:ascii="Century Gothic" w:hAnsi="Century Gothic"/>
        <w:sz w:val="20"/>
        <w:szCs w:val="20"/>
      </w:rPr>
    </w:pPr>
    <w:r w:rsidRPr="00080131">
      <w:rPr>
        <w:rFonts w:ascii="Century Gothic" w:hAnsi="Century Gothic"/>
        <w:sz w:val="20"/>
        <w:szCs w:val="20"/>
      </w:rPr>
      <w:t>PR4_F</w:t>
    </w:r>
    <w:r w:rsidR="009F7140">
      <w:rPr>
        <w:rFonts w:ascii="Century Gothic" w:hAnsi="Century Gothic"/>
        <w:sz w:val="20"/>
        <w:szCs w:val="20"/>
      </w:rPr>
      <w:t>293</w:t>
    </w:r>
    <w:r w:rsidRPr="00080131">
      <w:rPr>
        <w:rFonts w:ascii="Century Gothic" w:hAnsi="Century Gothic"/>
        <w:sz w:val="20"/>
        <w:szCs w:val="20"/>
      </w:rPr>
      <w:t>_w1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87505"/>
    <w:multiLevelType w:val="hybridMultilevel"/>
    <w:tmpl w:val="067AC826"/>
    <w:lvl w:ilvl="0" w:tplc="155241D2">
      <w:start w:val="2"/>
      <w:numFmt w:val="upperRoman"/>
      <w:lvlText w:val="%1"/>
      <w:lvlJc w:val="left"/>
      <w:pPr>
        <w:ind w:left="217" w:hanging="187"/>
        <w:jc w:val="right"/>
      </w:pPr>
      <w:rPr>
        <w:rFonts w:hint="default"/>
        <w:b/>
        <w:spacing w:val="-1"/>
        <w:w w:val="101"/>
        <w:sz w:val="22"/>
        <w:szCs w:val="22"/>
        <w:lang w:val="pl-PL" w:eastAsia="en-US" w:bidi="ar-SA"/>
      </w:rPr>
    </w:lvl>
    <w:lvl w:ilvl="1" w:tplc="72C2DFE4">
      <w:numFmt w:val="bullet"/>
      <w:lvlText w:val="•"/>
      <w:lvlJc w:val="left"/>
      <w:pPr>
        <w:ind w:left="85" w:hanging="161"/>
      </w:pPr>
      <w:rPr>
        <w:rFonts w:ascii="Arial" w:eastAsia="Arial" w:hAnsi="Arial" w:cs="Arial" w:hint="default"/>
        <w:spacing w:val="0"/>
        <w:w w:val="98"/>
        <w:lang w:val="pl-PL" w:eastAsia="en-US" w:bidi="ar-SA"/>
      </w:rPr>
    </w:lvl>
    <w:lvl w:ilvl="2" w:tplc="BCFA55E2">
      <w:numFmt w:val="bullet"/>
      <w:lvlText w:val="•"/>
      <w:lvlJc w:val="left"/>
      <w:pPr>
        <w:ind w:left="1218" w:hanging="161"/>
      </w:pPr>
      <w:rPr>
        <w:rFonts w:hint="default"/>
        <w:lang w:val="pl-PL" w:eastAsia="en-US" w:bidi="ar-SA"/>
      </w:rPr>
    </w:lvl>
    <w:lvl w:ilvl="3" w:tplc="4BAED8CC">
      <w:numFmt w:val="bullet"/>
      <w:lvlText w:val="•"/>
      <w:lvlJc w:val="left"/>
      <w:pPr>
        <w:ind w:left="2217" w:hanging="161"/>
      </w:pPr>
      <w:rPr>
        <w:rFonts w:hint="default"/>
        <w:lang w:val="pl-PL" w:eastAsia="en-US" w:bidi="ar-SA"/>
      </w:rPr>
    </w:lvl>
    <w:lvl w:ilvl="4" w:tplc="AA782EAC">
      <w:numFmt w:val="bullet"/>
      <w:lvlText w:val="•"/>
      <w:lvlJc w:val="left"/>
      <w:pPr>
        <w:ind w:left="3216" w:hanging="161"/>
      </w:pPr>
      <w:rPr>
        <w:rFonts w:hint="default"/>
        <w:lang w:val="pl-PL" w:eastAsia="en-US" w:bidi="ar-SA"/>
      </w:rPr>
    </w:lvl>
    <w:lvl w:ilvl="5" w:tplc="D12E4BC6">
      <w:numFmt w:val="bullet"/>
      <w:lvlText w:val="•"/>
      <w:lvlJc w:val="left"/>
      <w:pPr>
        <w:ind w:left="4214" w:hanging="161"/>
      </w:pPr>
      <w:rPr>
        <w:rFonts w:hint="default"/>
        <w:lang w:val="pl-PL" w:eastAsia="en-US" w:bidi="ar-SA"/>
      </w:rPr>
    </w:lvl>
    <w:lvl w:ilvl="6" w:tplc="7DF4967A">
      <w:numFmt w:val="bullet"/>
      <w:lvlText w:val="•"/>
      <w:lvlJc w:val="left"/>
      <w:pPr>
        <w:ind w:left="5213" w:hanging="161"/>
      </w:pPr>
      <w:rPr>
        <w:rFonts w:hint="default"/>
        <w:lang w:val="pl-PL" w:eastAsia="en-US" w:bidi="ar-SA"/>
      </w:rPr>
    </w:lvl>
    <w:lvl w:ilvl="7" w:tplc="5798CFD0">
      <w:numFmt w:val="bullet"/>
      <w:lvlText w:val="•"/>
      <w:lvlJc w:val="left"/>
      <w:pPr>
        <w:ind w:left="6212" w:hanging="161"/>
      </w:pPr>
      <w:rPr>
        <w:rFonts w:hint="default"/>
        <w:lang w:val="pl-PL" w:eastAsia="en-US" w:bidi="ar-SA"/>
      </w:rPr>
    </w:lvl>
    <w:lvl w:ilvl="8" w:tplc="1142859E">
      <w:numFmt w:val="bullet"/>
      <w:lvlText w:val="•"/>
      <w:lvlJc w:val="left"/>
      <w:pPr>
        <w:ind w:left="7210" w:hanging="161"/>
      </w:pPr>
      <w:rPr>
        <w:rFonts w:hint="default"/>
        <w:lang w:val="pl-PL" w:eastAsia="en-US" w:bidi="ar-SA"/>
      </w:rPr>
    </w:lvl>
  </w:abstractNum>
  <w:abstractNum w:abstractNumId="1">
    <w:nsid w:val="61F413F8"/>
    <w:multiLevelType w:val="hybridMultilevel"/>
    <w:tmpl w:val="89449BBA"/>
    <w:lvl w:ilvl="0" w:tplc="9ACAA9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9464FC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69092B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82CDB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2EE851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2B23CE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B0C32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3CA3F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89039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3E1F6D"/>
    <w:rsid w:val="00045180"/>
    <w:rsid w:val="000607E6"/>
    <w:rsid w:val="000622E8"/>
    <w:rsid w:val="00073392"/>
    <w:rsid w:val="00080131"/>
    <w:rsid w:val="000A000A"/>
    <w:rsid w:val="000D7D45"/>
    <w:rsid w:val="00100926"/>
    <w:rsid w:val="001214F9"/>
    <w:rsid w:val="00135DE7"/>
    <w:rsid w:val="002142D2"/>
    <w:rsid w:val="002422F6"/>
    <w:rsid w:val="002736B6"/>
    <w:rsid w:val="002A7ECF"/>
    <w:rsid w:val="002E519D"/>
    <w:rsid w:val="002F56EC"/>
    <w:rsid w:val="003210BD"/>
    <w:rsid w:val="00336EF1"/>
    <w:rsid w:val="00344389"/>
    <w:rsid w:val="003457FD"/>
    <w:rsid w:val="00356E8B"/>
    <w:rsid w:val="003805A7"/>
    <w:rsid w:val="00397350"/>
    <w:rsid w:val="003E1F6D"/>
    <w:rsid w:val="00443874"/>
    <w:rsid w:val="00456268"/>
    <w:rsid w:val="004725CF"/>
    <w:rsid w:val="004E5E03"/>
    <w:rsid w:val="00512CB1"/>
    <w:rsid w:val="00566C8C"/>
    <w:rsid w:val="005B5A9F"/>
    <w:rsid w:val="005C0049"/>
    <w:rsid w:val="005D1430"/>
    <w:rsid w:val="005D4F95"/>
    <w:rsid w:val="006002B2"/>
    <w:rsid w:val="00675B20"/>
    <w:rsid w:val="006A3DCA"/>
    <w:rsid w:val="0071161E"/>
    <w:rsid w:val="00764D20"/>
    <w:rsid w:val="007D7313"/>
    <w:rsid w:val="00936A61"/>
    <w:rsid w:val="00976F35"/>
    <w:rsid w:val="009F7140"/>
    <w:rsid w:val="00A14AC2"/>
    <w:rsid w:val="00A1731C"/>
    <w:rsid w:val="00A66825"/>
    <w:rsid w:val="00A74753"/>
    <w:rsid w:val="00AA53FA"/>
    <w:rsid w:val="00BC2163"/>
    <w:rsid w:val="00BD1E3F"/>
    <w:rsid w:val="00BE0BFA"/>
    <w:rsid w:val="00BF55E1"/>
    <w:rsid w:val="00C148C0"/>
    <w:rsid w:val="00C16185"/>
    <w:rsid w:val="00C414DA"/>
    <w:rsid w:val="00C517A2"/>
    <w:rsid w:val="00C71605"/>
    <w:rsid w:val="00D7315C"/>
    <w:rsid w:val="00E13B7E"/>
    <w:rsid w:val="00E27B6D"/>
    <w:rsid w:val="00E93BD7"/>
    <w:rsid w:val="00EA483E"/>
    <w:rsid w:val="00F7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E1F6D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1F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E1F6D"/>
  </w:style>
  <w:style w:type="paragraph" w:customStyle="1" w:styleId="Nagwek11">
    <w:name w:val="Nagłówek 11"/>
    <w:basedOn w:val="Normalny"/>
    <w:uiPriority w:val="1"/>
    <w:qFormat/>
    <w:rsid w:val="003E1F6D"/>
    <w:pPr>
      <w:ind w:left="31" w:hanging="334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3E1F6D"/>
    <w:pPr>
      <w:spacing w:before="21"/>
      <w:ind w:left="12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3E1F6D"/>
    <w:pPr>
      <w:ind w:left="24" w:hanging="386"/>
    </w:pPr>
  </w:style>
  <w:style w:type="paragraph" w:customStyle="1" w:styleId="TableParagraph">
    <w:name w:val="Table Paragraph"/>
    <w:basedOn w:val="Normalny"/>
    <w:uiPriority w:val="1"/>
    <w:qFormat/>
    <w:rsid w:val="003E1F6D"/>
  </w:style>
  <w:style w:type="paragraph" w:styleId="Tekstdymka">
    <w:name w:val="Balloon Text"/>
    <w:basedOn w:val="Normalny"/>
    <w:link w:val="TekstdymkaZnak"/>
    <w:uiPriority w:val="99"/>
    <w:semiHidden/>
    <w:unhideWhenUsed/>
    <w:rsid w:val="00AA53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FA"/>
    <w:rPr>
      <w:rFonts w:ascii="Tahoma" w:eastAsia="Arial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C716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25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25C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725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25CF"/>
    <w:rPr>
      <w:rFonts w:ascii="Arial" w:eastAsia="Arial" w:hAnsi="Arial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733">
          <w:marLeft w:val="32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162">
          <w:marLeft w:val="32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099">
          <w:marLeft w:val="32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endoskopia</dc:creator>
  <cp:lastModifiedBy>lom.krzyzewska</cp:lastModifiedBy>
  <cp:revision>3</cp:revision>
  <cp:lastPrinted>2026-07-07T05:45:00Z</cp:lastPrinted>
  <dcterms:created xsi:type="dcterms:W3CDTF">2026-07-15T08:31:00Z</dcterms:created>
  <dcterms:modified xsi:type="dcterms:W3CDTF">2026-07-15T08:31:00Z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LastSaved">
    <vt:filetime>2025-05-26T00:00:00Z</vt:filetime>
  </property>
</Properties>
</file>