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CF" w:rsidRDefault="004725CF" w:rsidP="004725CF">
      <w:pPr>
        <w:pStyle w:val="Nagwek"/>
      </w:pPr>
    </w:p>
    <w:p w:rsidR="003E1F6D" w:rsidRPr="00A74753" w:rsidRDefault="00456268" w:rsidP="00BD1E3F">
      <w:pPr>
        <w:pStyle w:val="Tekstpodstawowy"/>
        <w:spacing w:before="240" w:line="276" w:lineRule="auto"/>
        <w:ind w:right="408"/>
        <w:jc w:val="center"/>
        <w:rPr>
          <w:rFonts w:ascii="Century Gothic" w:hAnsi="Century Gothic"/>
          <w:b/>
          <w:sz w:val="24"/>
          <w:szCs w:val="24"/>
        </w:rPr>
      </w:pPr>
      <w:r w:rsidRPr="00A74753">
        <w:rPr>
          <w:rFonts w:ascii="Century Gothic" w:hAnsi="Century Gothic"/>
          <w:b/>
          <w:sz w:val="24"/>
          <w:szCs w:val="24"/>
        </w:rPr>
        <w:t>Formularz</w:t>
      </w:r>
      <w:r w:rsidR="005D1430">
        <w:rPr>
          <w:rFonts w:ascii="Century Gothic" w:hAnsi="Century Gothic"/>
          <w:b/>
          <w:sz w:val="24"/>
          <w:szCs w:val="24"/>
        </w:rPr>
        <w:t xml:space="preserve"> </w:t>
      </w:r>
      <w:r w:rsidRPr="00A74753">
        <w:rPr>
          <w:rFonts w:ascii="Century Gothic" w:hAnsi="Century Gothic"/>
          <w:b/>
          <w:sz w:val="24"/>
          <w:szCs w:val="24"/>
        </w:rPr>
        <w:t>świadomej</w:t>
      </w:r>
      <w:r w:rsidRPr="00A74753">
        <w:rPr>
          <w:rFonts w:ascii="Century Gothic" w:hAnsi="Century Gothic"/>
          <w:b/>
          <w:spacing w:val="-2"/>
          <w:sz w:val="24"/>
          <w:szCs w:val="24"/>
        </w:rPr>
        <w:t xml:space="preserve"> zgody</w:t>
      </w:r>
    </w:p>
    <w:p w:rsidR="003E1F6D" w:rsidRPr="00A74753" w:rsidRDefault="00456268" w:rsidP="00BD1E3F">
      <w:pPr>
        <w:pStyle w:val="Nagwek11"/>
        <w:spacing w:before="240" w:line="276" w:lineRule="auto"/>
        <w:ind w:firstLine="0"/>
        <w:rPr>
          <w:rFonts w:ascii="Century Gothic" w:hAnsi="Century Gothic"/>
        </w:rPr>
      </w:pPr>
      <w:r w:rsidRPr="00A74753">
        <w:rPr>
          <w:rFonts w:ascii="Century Gothic" w:hAnsi="Century Gothic"/>
        </w:rPr>
        <w:t>I Dane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Pacjenta</w:t>
      </w:r>
    </w:p>
    <w:p w:rsidR="003E1F6D" w:rsidRPr="00A74753" w:rsidRDefault="00456268" w:rsidP="00BD1E3F">
      <w:pPr>
        <w:pStyle w:val="Tekstpodstawowy"/>
        <w:spacing w:before="240" w:line="276" w:lineRule="auto"/>
        <w:ind w:left="30"/>
        <w:rPr>
          <w:rFonts w:ascii="Century Gothic" w:hAnsi="Century Gothic"/>
          <w:w w:val="105"/>
        </w:rPr>
      </w:pPr>
      <w:r w:rsidRPr="00A74753">
        <w:rPr>
          <w:rFonts w:ascii="Century Gothic" w:hAnsi="Century Gothic"/>
          <w:w w:val="105"/>
        </w:rPr>
        <w:t>Imię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i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nazwisko</w:t>
      </w:r>
      <w:r w:rsidR="005D1430">
        <w:rPr>
          <w:rFonts w:ascii="Century Gothic" w:hAnsi="Century Gothic"/>
          <w:w w:val="105"/>
        </w:rPr>
        <w:t xml:space="preserve"> </w:t>
      </w:r>
      <w:r w:rsidRPr="00A74753">
        <w:rPr>
          <w:rFonts w:ascii="Century Gothic" w:hAnsi="Century Gothic"/>
          <w:w w:val="105"/>
        </w:rPr>
        <w:t>Pacjenta</w:t>
      </w:r>
      <w:r w:rsidR="00A74753" w:rsidRPr="00A74753">
        <w:rPr>
          <w:rFonts w:ascii="Century Gothic" w:hAnsi="Century Gothic"/>
          <w:w w:val="105"/>
        </w:rPr>
        <w:t>:</w:t>
      </w:r>
    </w:p>
    <w:p w:rsidR="00BD1E3F" w:rsidRPr="00A74753" w:rsidRDefault="00BD1E3F" w:rsidP="00BD1E3F">
      <w:pPr>
        <w:pStyle w:val="Tekstpodstawowy"/>
        <w:spacing w:before="240" w:line="276" w:lineRule="auto"/>
        <w:ind w:left="30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…………………………………………………………………………………………………….</w:t>
      </w:r>
    </w:p>
    <w:p w:rsidR="00BD1E3F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  <w:spacing w:val="-2"/>
          <w:w w:val="115"/>
        </w:rPr>
      </w:pPr>
      <w:r w:rsidRPr="00A74753">
        <w:rPr>
          <w:rFonts w:ascii="Century Gothic" w:hAnsi="Century Gothic"/>
        </w:rPr>
        <w:t>Pesel</w:t>
      </w:r>
      <w:r w:rsidR="00A74753" w:rsidRPr="00A74753">
        <w:rPr>
          <w:rFonts w:ascii="Century Gothic" w:hAnsi="Century Gothic"/>
        </w:rPr>
        <w:t>:</w:t>
      </w:r>
    </w:p>
    <w:p w:rsidR="003E1F6D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</w:rPr>
      </w:pPr>
      <w:r w:rsidRPr="00A74753">
        <w:rPr>
          <w:rFonts w:ascii="Century Gothic" w:hAnsi="Century Gothic"/>
          <w:spacing w:val="-2"/>
          <w:w w:val="115"/>
        </w:rPr>
        <w:t>................................................................................</w:t>
      </w:r>
      <w:r w:rsidR="00BD1E3F" w:rsidRPr="00A74753">
        <w:rPr>
          <w:rFonts w:ascii="Century Gothic" w:hAnsi="Century Gothic"/>
          <w:spacing w:val="-2"/>
          <w:w w:val="115"/>
        </w:rPr>
        <w:t>............................................</w:t>
      </w:r>
    </w:p>
    <w:p w:rsidR="003E1F6D" w:rsidRPr="00A74753" w:rsidRDefault="00456268" w:rsidP="00BD1E3F">
      <w:pPr>
        <w:pStyle w:val="Nagwek11"/>
        <w:numPr>
          <w:ilvl w:val="0"/>
          <w:numId w:val="1"/>
        </w:numPr>
        <w:tabs>
          <w:tab w:val="left" w:pos="215"/>
        </w:tabs>
        <w:spacing w:before="240" w:line="276" w:lineRule="auto"/>
        <w:ind w:left="215" w:hanging="184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Nazwa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procedury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medycznej</w:t>
      </w:r>
    </w:p>
    <w:p w:rsidR="003E1F6D" w:rsidRPr="00A74753" w:rsidRDefault="00456268" w:rsidP="00344389">
      <w:pPr>
        <w:pStyle w:val="Tekstpodstawowy"/>
        <w:spacing w:before="240" w:line="276" w:lineRule="auto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Program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leczenia</w:t>
      </w:r>
      <w:r w:rsidR="005D1430">
        <w:rPr>
          <w:rFonts w:ascii="Century Gothic" w:hAnsi="Century Gothic"/>
        </w:rPr>
        <w:t xml:space="preserve"> </w:t>
      </w:r>
      <w:r w:rsidR="00344389">
        <w:rPr>
          <w:rFonts w:ascii="Century Gothic" w:hAnsi="Century Gothic"/>
        </w:rPr>
        <w:t xml:space="preserve">choroby </w:t>
      </w:r>
      <w:proofErr w:type="spellStart"/>
      <w:r w:rsidR="00344389">
        <w:rPr>
          <w:rFonts w:ascii="Century Gothic" w:hAnsi="Century Gothic"/>
        </w:rPr>
        <w:t>Leśniowskiego-Crohna</w:t>
      </w:r>
      <w:proofErr w:type="spellEnd"/>
    </w:p>
    <w:p w:rsidR="003E1F6D" w:rsidRPr="00A74753" w:rsidRDefault="00456268" w:rsidP="00BD1E3F">
      <w:pPr>
        <w:pStyle w:val="Nagwek11"/>
        <w:numPr>
          <w:ilvl w:val="0"/>
          <w:numId w:val="1"/>
        </w:numPr>
        <w:tabs>
          <w:tab w:val="left" w:pos="273"/>
        </w:tabs>
        <w:spacing w:before="240" w:line="276" w:lineRule="auto"/>
        <w:ind w:left="273" w:hanging="247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Opis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choroby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będącej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powodem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objęcia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leczeniem</w:t>
      </w:r>
    </w:p>
    <w:p w:rsidR="00344389" w:rsidRPr="00344389" w:rsidRDefault="00344389" w:rsidP="00344389">
      <w:pPr>
        <w:pStyle w:val="Tekstpodstawowy"/>
        <w:spacing w:before="240" w:line="276" w:lineRule="auto"/>
        <w:ind w:left="27" w:firstLine="7"/>
        <w:jc w:val="both"/>
        <w:rPr>
          <w:rFonts w:ascii="Century Gothic" w:hAnsi="Century Gothic"/>
        </w:rPr>
      </w:pPr>
      <w:r w:rsidRPr="00344389">
        <w:rPr>
          <w:rFonts w:ascii="Century Gothic" w:hAnsi="Century Gothic"/>
        </w:rPr>
        <w:t xml:space="preserve">Choroba Leśniowskiego - </w:t>
      </w:r>
      <w:proofErr w:type="spellStart"/>
      <w:r w:rsidRPr="00344389">
        <w:rPr>
          <w:rFonts w:ascii="Century Gothic" w:hAnsi="Century Gothic"/>
        </w:rPr>
        <w:t>Crohna</w:t>
      </w:r>
      <w:proofErr w:type="spellEnd"/>
      <w:r w:rsidRPr="00344389">
        <w:rPr>
          <w:rFonts w:ascii="Century Gothic" w:hAnsi="Century Gothic"/>
        </w:rPr>
        <w:t xml:space="preserve"> (</w:t>
      </w:r>
      <w:proofErr w:type="spellStart"/>
      <w:r w:rsidRPr="00344389">
        <w:rPr>
          <w:rFonts w:ascii="Century Gothic" w:hAnsi="Century Gothic"/>
        </w:rPr>
        <w:t>ChLC</w:t>
      </w:r>
      <w:proofErr w:type="spellEnd"/>
      <w:r w:rsidRPr="00344389">
        <w:rPr>
          <w:rFonts w:ascii="Century Gothic" w:hAnsi="Century Gothic"/>
        </w:rPr>
        <w:t>) jest pełnościennym, odcinkowym procesem zapalnym, który może dotyczyć każdego odcinka przewodu pokarmowego od jamy ustnej aż do odbytu. Etiologia choroby nie jest w pełni poznana. Uważa się, że współudział czynników środowiskowych, immunologicznych</w:t>
      </w:r>
      <w:r>
        <w:rPr>
          <w:rFonts w:ascii="Century Gothic" w:hAnsi="Century Gothic"/>
        </w:rPr>
        <w:t xml:space="preserve">, </w:t>
      </w:r>
      <w:r w:rsidRPr="00344389">
        <w:rPr>
          <w:rFonts w:ascii="Century Gothic" w:hAnsi="Century Gothic"/>
        </w:rPr>
        <w:t xml:space="preserve">genetycznych </w:t>
      </w:r>
      <w:r>
        <w:rPr>
          <w:rFonts w:ascii="Century Gothic" w:hAnsi="Century Gothic"/>
        </w:rPr>
        <w:t xml:space="preserve">oraz </w:t>
      </w:r>
      <w:proofErr w:type="spellStart"/>
      <w:r>
        <w:rPr>
          <w:rFonts w:ascii="Century Gothic" w:hAnsi="Century Gothic"/>
        </w:rPr>
        <w:t>mikrobiomu</w:t>
      </w:r>
      <w:proofErr w:type="spellEnd"/>
      <w:r>
        <w:rPr>
          <w:rFonts w:ascii="Century Gothic" w:hAnsi="Century Gothic"/>
        </w:rPr>
        <w:t xml:space="preserve"> jelitowego </w:t>
      </w:r>
      <w:r w:rsidRPr="00344389">
        <w:rPr>
          <w:rFonts w:ascii="Century Gothic" w:hAnsi="Century Gothic"/>
        </w:rPr>
        <w:t>prowadzi do przewlekłego procesu zapalnego przewodu pokarmowego.</w:t>
      </w:r>
    </w:p>
    <w:p w:rsidR="00344389" w:rsidRPr="00344389" w:rsidRDefault="00344389" w:rsidP="00344389">
      <w:pPr>
        <w:pStyle w:val="Tekstpodstawowy"/>
        <w:spacing w:before="240" w:line="276" w:lineRule="auto"/>
        <w:ind w:left="27" w:firstLine="7"/>
        <w:jc w:val="both"/>
        <w:rPr>
          <w:rFonts w:ascii="Century Gothic" w:hAnsi="Century Gothic"/>
        </w:rPr>
      </w:pPr>
      <w:r w:rsidRPr="00344389">
        <w:rPr>
          <w:rFonts w:ascii="Century Gothic" w:hAnsi="Century Gothic"/>
        </w:rPr>
        <w:t xml:space="preserve">Uszkodzenie ma swój początek w błonie śluzowej. Z czasem dochodzi do zajęcia całej ściany jelita, co może powodować powstanie przetok, ropni i zwężeń. Cechą charakterystyczną </w:t>
      </w:r>
      <w:proofErr w:type="spellStart"/>
      <w:r w:rsidRPr="00344389">
        <w:rPr>
          <w:rFonts w:ascii="Century Gothic" w:hAnsi="Century Gothic"/>
        </w:rPr>
        <w:t>ChLC</w:t>
      </w:r>
      <w:proofErr w:type="spellEnd"/>
      <w:r w:rsidRPr="00344389">
        <w:rPr>
          <w:rFonts w:ascii="Century Gothic" w:hAnsi="Century Gothic"/>
        </w:rPr>
        <w:t xml:space="preserve"> jest jej fazowy przebieg: okresy zaostrzeń objawów klinicznych występują naprzemiennie z okresami remisji choroby.</w:t>
      </w:r>
    </w:p>
    <w:p w:rsidR="003E1F6D" w:rsidRPr="00A74753" w:rsidRDefault="003E1F6D" w:rsidP="00BD1E3F">
      <w:pPr>
        <w:pStyle w:val="Tekstpodstawowy"/>
        <w:spacing w:before="240" w:line="276" w:lineRule="auto"/>
        <w:ind w:left="27" w:firstLine="7"/>
        <w:jc w:val="both"/>
        <w:rPr>
          <w:rFonts w:ascii="Century Gothic" w:hAnsi="Century Gothic"/>
        </w:rPr>
      </w:pPr>
    </w:p>
    <w:p w:rsidR="003E1F6D" w:rsidRPr="002F56EC" w:rsidRDefault="00456268" w:rsidP="002F56EC">
      <w:pPr>
        <w:pStyle w:val="Akapitzlist"/>
        <w:numPr>
          <w:ilvl w:val="0"/>
          <w:numId w:val="1"/>
        </w:numPr>
        <w:spacing w:before="240" w:line="276" w:lineRule="auto"/>
        <w:ind w:left="26" w:right="2262" w:firstLine="0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</w:rPr>
        <w:t>Produkt leczniczy podawany w ramach w</w:t>
      </w:r>
      <w:r w:rsidR="004725CF" w:rsidRPr="002F56EC">
        <w:rPr>
          <w:rFonts w:ascii="Century Gothic" w:hAnsi="Century Gothic"/>
          <w:b/>
        </w:rPr>
        <w:t>/</w:t>
      </w:r>
      <w:r w:rsidRPr="002F56EC">
        <w:rPr>
          <w:rFonts w:ascii="Century Gothic" w:hAnsi="Century Gothic"/>
          <w:b/>
        </w:rPr>
        <w:t xml:space="preserve">w </w:t>
      </w:r>
      <w:r w:rsidR="004725CF" w:rsidRPr="002F56EC">
        <w:rPr>
          <w:rFonts w:ascii="Century Gothic" w:hAnsi="Century Gothic"/>
          <w:b/>
        </w:rPr>
        <w:t xml:space="preserve"> Programu</w:t>
      </w:r>
      <w:r w:rsidR="002F56EC" w:rsidRPr="002F56EC">
        <w:rPr>
          <w:rFonts w:ascii="Century Gothic" w:hAnsi="Century Gothic"/>
        </w:rPr>
        <w:t xml:space="preserve">: </w:t>
      </w:r>
      <w:r w:rsidR="002F56EC">
        <w:rPr>
          <w:rFonts w:ascii="Century Gothic" w:hAnsi="Century Gothic"/>
        </w:rPr>
        <w:br/>
      </w:r>
      <w:r w:rsidR="002F56EC">
        <w:rPr>
          <w:rFonts w:ascii="Century Gothic" w:hAnsi="Century Gothic"/>
        </w:rPr>
        <w:br/>
      </w:r>
      <w:proofErr w:type="spellStart"/>
      <w:r w:rsidR="00D7315C" w:rsidRPr="00D7315C">
        <w:rPr>
          <w:rFonts w:ascii="Century Gothic" w:hAnsi="Century Gothic"/>
          <w:b/>
          <w:spacing w:val="-2"/>
        </w:rPr>
        <w:t>Ryzankizumab</w:t>
      </w:r>
      <w:proofErr w:type="spellEnd"/>
    </w:p>
    <w:p w:rsidR="00BD1E3F" w:rsidRPr="00A74753" w:rsidRDefault="00BD1E3F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Mechanizm działania</w:t>
      </w:r>
      <w:r w:rsidR="00A74753">
        <w:rPr>
          <w:rFonts w:ascii="Century Gothic" w:hAnsi="Century Gothic"/>
        </w:rPr>
        <w:t>:</w:t>
      </w:r>
    </w:p>
    <w:p w:rsidR="00BD1E3F" w:rsidRPr="00A74753" w:rsidRDefault="00D7315C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proofErr w:type="spellStart"/>
      <w:r w:rsidRPr="00D7315C">
        <w:rPr>
          <w:rFonts w:ascii="Century Gothic" w:hAnsi="Century Gothic"/>
        </w:rPr>
        <w:t>Ryzankizumab</w:t>
      </w:r>
      <w:proofErr w:type="spellEnd"/>
      <w:r w:rsidRPr="00D7315C">
        <w:rPr>
          <w:rFonts w:ascii="Century Gothic" w:hAnsi="Century Gothic"/>
        </w:rPr>
        <w:t xml:space="preserve"> jest humanizowanym przeciwciałem monoklonalnym należącym do podklasy 1 immunoglobuliny typu G (IgG1), które z wysokim powinowactwem selektywnie wiąże się z podjednostką p19 ludzkiej cytokiny interleukiny 23 (IL-23) bez wiązania się z IL-12 i hamuje jej interakcję z kompleksem receptora dla IL-23. IL-23 jest </w:t>
      </w:r>
      <w:proofErr w:type="spellStart"/>
      <w:r w:rsidRPr="00D7315C">
        <w:rPr>
          <w:rFonts w:ascii="Century Gothic" w:hAnsi="Century Gothic"/>
        </w:rPr>
        <w:t>cytokiną</w:t>
      </w:r>
      <w:proofErr w:type="spellEnd"/>
      <w:r w:rsidRPr="00D7315C">
        <w:rPr>
          <w:rFonts w:ascii="Century Gothic" w:hAnsi="Century Gothic"/>
        </w:rPr>
        <w:t xml:space="preserve"> zaangażowaną w odpowiedź zapalną i immunologiczną. Blokując wiązanie IL-23 z jej receptorem, </w:t>
      </w:r>
      <w:proofErr w:type="spellStart"/>
      <w:r w:rsidRPr="00D7315C">
        <w:rPr>
          <w:rFonts w:ascii="Century Gothic" w:hAnsi="Century Gothic"/>
        </w:rPr>
        <w:t>ryzankizumab</w:t>
      </w:r>
      <w:proofErr w:type="spellEnd"/>
      <w:r w:rsidRPr="00D7315C">
        <w:rPr>
          <w:rFonts w:ascii="Century Gothic" w:hAnsi="Century Gothic"/>
        </w:rPr>
        <w:t xml:space="preserve"> hamuje zależną od IL-23 sygnalizację międzykomórkową i uwalnianie cytokin prozapalnych</w:t>
      </w:r>
      <w:r>
        <w:rPr>
          <w:rFonts w:ascii="Century Gothic" w:hAnsi="Century Gothic"/>
        </w:rPr>
        <w:t>.</w:t>
      </w:r>
    </w:p>
    <w:p w:rsidR="003E1F6D" w:rsidRPr="00A74753" w:rsidRDefault="00456268" w:rsidP="00BD1E3F">
      <w:pPr>
        <w:pStyle w:val="Akapitzlist"/>
        <w:numPr>
          <w:ilvl w:val="0"/>
          <w:numId w:val="1"/>
        </w:numPr>
        <w:tabs>
          <w:tab w:val="left" w:pos="235"/>
        </w:tabs>
        <w:spacing w:before="240" w:line="276" w:lineRule="auto"/>
        <w:ind w:left="235" w:hanging="209"/>
        <w:jc w:val="both"/>
        <w:rPr>
          <w:rFonts w:ascii="Century Gothic" w:hAnsi="Century Gothic"/>
          <w:b/>
        </w:rPr>
      </w:pPr>
      <w:r w:rsidRPr="00A74753">
        <w:rPr>
          <w:rFonts w:ascii="Century Gothic" w:hAnsi="Century Gothic"/>
          <w:b/>
          <w:w w:val="105"/>
        </w:rPr>
        <w:t>Droga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A74753">
        <w:rPr>
          <w:rFonts w:ascii="Century Gothic" w:hAnsi="Century Gothic"/>
          <w:b/>
          <w:w w:val="105"/>
        </w:rPr>
        <w:t>podania</w:t>
      </w:r>
      <w:r w:rsidR="007D7313">
        <w:rPr>
          <w:rFonts w:ascii="Century Gothic" w:hAnsi="Century Gothic"/>
          <w:b/>
          <w:w w:val="105"/>
        </w:rPr>
        <w:t xml:space="preserve"> </w:t>
      </w:r>
      <w:r w:rsidRPr="00A74753">
        <w:rPr>
          <w:rFonts w:ascii="Century Gothic" w:hAnsi="Century Gothic"/>
          <w:b/>
          <w:spacing w:val="-4"/>
          <w:w w:val="105"/>
        </w:rPr>
        <w:t>leku</w:t>
      </w:r>
    </w:p>
    <w:p w:rsidR="00C71605" w:rsidRPr="00A74753" w:rsidRDefault="00D7315C" w:rsidP="00BD1E3F">
      <w:pPr>
        <w:pStyle w:val="Tekstpodstawowy"/>
        <w:spacing w:before="240" w:line="276" w:lineRule="auto"/>
        <w:ind w:left="21" w:firstLine="3"/>
        <w:jc w:val="both"/>
        <w:rPr>
          <w:rFonts w:ascii="Century Gothic" w:hAnsi="Century Gothic"/>
          <w:spacing w:val="-4"/>
        </w:rPr>
      </w:pPr>
      <w:r w:rsidRPr="00D7315C">
        <w:rPr>
          <w:rFonts w:ascii="Century Gothic" w:hAnsi="Century Gothic"/>
          <w:spacing w:val="-4"/>
        </w:rPr>
        <w:t xml:space="preserve">Zalecana dawka to 600 mg podawana we wlewie dożylnym w tygodniu 0., tygodniu 4. i tygodniu 8., a następnie 360 mg podawana w postaci wstrzyknięcia podskórnego w tygodniu 12. i później co 8 tygodni. Należy rozważyć zaprzestanie leczenia u pacjentów, u </w:t>
      </w:r>
      <w:r w:rsidRPr="00D7315C">
        <w:rPr>
          <w:rFonts w:ascii="Century Gothic" w:hAnsi="Century Gothic"/>
          <w:spacing w:val="-4"/>
        </w:rPr>
        <w:lastRenderedPageBreak/>
        <w:t>których nie stwierdzono dowodów na korzyści terapeutyczne do tygodnia 24.</w:t>
      </w:r>
    </w:p>
    <w:p w:rsidR="003E1F6D" w:rsidRPr="00A74753" w:rsidRDefault="00456268" w:rsidP="00BD1E3F">
      <w:pPr>
        <w:pStyle w:val="Nagwek11"/>
        <w:numPr>
          <w:ilvl w:val="0"/>
          <w:numId w:val="1"/>
        </w:numPr>
        <w:tabs>
          <w:tab w:val="left" w:pos="351"/>
        </w:tabs>
        <w:spacing w:before="240" w:line="276" w:lineRule="auto"/>
        <w:ind w:left="351" w:hanging="334"/>
        <w:jc w:val="left"/>
        <w:rPr>
          <w:rFonts w:ascii="Century Gothic" w:hAnsi="Century Gothic"/>
        </w:rPr>
      </w:pPr>
      <w:r w:rsidRPr="00A74753">
        <w:rPr>
          <w:rFonts w:ascii="Century Gothic" w:hAnsi="Century Gothic"/>
        </w:rPr>
        <w:t>Określenie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czasu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leczenia w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programie</w:t>
      </w:r>
      <w:r w:rsidR="002E519D">
        <w:rPr>
          <w:rFonts w:ascii="Century Gothic" w:hAnsi="Century Gothic"/>
          <w:spacing w:val="-2"/>
        </w:rPr>
        <w:br/>
      </w:r>
    </w:p>
    <w:p w:rsidR="00512CB1" w:rsidRDefault="00AA53FA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2F56EC">
        <w:rPr>
          <w:rFonts w:ascii="Century Gothic" w:hAnsi="Century Gothic"/>
          <w:w w:val="95"/>
        </w:rPr>
        <w:t>T</w:t>
      </w:r>
      <w:r w:rsidR="00456268" w:rsidRPr="002F56EC">
        <w:rPr>
          <w:rFonts w:ascii="Century Gothic" w:hAnsi="Century Gothic"/>
          <w:w w:val="95"/>
        </w:rPr>
        <w:t xml:space="preserve">erapia indukcyjna: </w:t>
      </w:r>
      <w:r w:rsidR="00512CB1">
        <w:rPr>
          <w:rFonts w:ascii="Century Gothic" w:hAnsi="Century Gothic"/>
          <w:w w:val="95"/>
        </w:rPr>
        <w:t xml:space="preserve">obejmuje </w:t>
      </w:r>
      <w:r w:rsidR="00512CB1" w:rsidRPr="00512CB1">
        <w:rPr>
          <w:rFonts w:ascii="Century Gothic" w:hAnsi="Century Gothic"/>
          <w:w w:val="95"/>
        </w:rPr>
        <w:t>podawan</w:t>
      </w:r>
      <w:r w:rsidR="00512CB1">
        <w:rPr>
          <w:rFonts w:ascii="Century Gothic" w:hAnsi="Century Gothic"/>
          <w:w w:val="95"/>
        </w:rPr>
        <w:t>ie leku</w:t>
      </w:r>
      <w:r w:rsidR="00512CB1" w:rsidRPr="00512CB1">
        <w:rPr>
          <w:rFonts w:ascii="Century Gothic" w:hAnsi="Century Gothic"/>
          <w:w w:val="95"/>
        </w:rPr>
        <w:t xml:space="preserve"> we wlewie dożylnym w tygodniu 0., tygodniu 4. i tygodniu 8.</w:t>
      </w:r>
    </w:p>
    <w:p w:rsidR="00512CB1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2F56EC">
        <w:rPr>
          <w:rFonts w:ascii="Century Gothic" w:hAnsi="Century Gothic"/>
          <w:w w:val="95"/>
        </w:rPr>
        <w:t>Leczenie podtrzymujące</w:t>
      </w:r>
      <w:r>
        <w:rPr>
          <w:rFonts w:ascii="Century Gothic" w:hAnsi="Century Gothic"/>
          <w:w w:val="95"/>
        </w:rPr>
        <w:t xml:space="preserve">: </w:t>
      </w:r>
      <w:r w:rsidRPr="00512CB1">
        <w:rPr>
          <w:rFonts w:ascii="Century Gothic" w:hAnsi="Century Gothic"/>
          <w:w w:val="95"/>
        </w:rPr>
        <w:t>podawan</w:t>
      </w:r>
      <w:r>
        <w:rPr>
          <w:rFonts w:ascii="Century Gothic" w:hAnsi="Century Gothic"/>
          <w:w w:val="95"/>
        </w:rPr>
        <w:t>e</w:t>
      </w:r>
      <w:r w:rsidRPr="00512CB1">
        <w:rPr>
          <w:rFonts w:ascii="Century Gothic" w:hAnsi="Century Gothic"/>
          <w:w w:val="95"/>
        </w:rPr>
        <w:t xml:space="preserve"> w postaci wstrzyknięcia podskórnego w tygodniu 12. i później co 8 tygodni. </w:t>
      </w:r>
    </w:p>
    <w:p w:rsidR="00512CB1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 w:rsidRPr="00512CB1">
        <w:rPr>
          <w:rFonts w:ascii="Century Gothic" w:hAnsi="Century Gothic"/>
          <w:w w:val="95"/>
        </w:rPr>
        <w:t>Należy rozważyć zaprzestanie leczenia u pacjentów, u których nie stwierdzono dowodów na korzyści terapeutyczne do tygodnia 24.</w:t>
      </w:r>
    </w:p>
    <w:p w:rsidR="00512CB1" w:rsidRDefault="00512CB1" w:rsidP="005D1430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  <w:r>
        <w:rPr>
          <w:rFonts w:ascii="Century Gothic" w:hAnsi="Century Gothic"/>
          <w:w w:val="95"/>
        </w:rPr>
        <w:t xml:space="preserve">Aktualnie leczenie w schemacie podtrzymania remisji </w:t>
      </w:r>
      <w:r w:rsidR="005D1430">
        <w:rPr>
          <w:rFonts w:ascii="Century Gothic" w:hAnsi="Century Gothic"/>
          <w:w w:val="95"/>
        </w:rPr>
        <w:t xml:space="preserve">w przypadku leczenia </w:t>
      </w:r>
      <w:r>
        <w:rPr>
          <w:rFonts w:ascii="Century Gothic" w:hAnsi="Century Gothic"/>
          <w:w w:val="95"/>
        </w:rPr>
        <w:t xml:space="preserve">w ramach Programu Lekowego B.32 jest leczeniem bezterminowym. </w:t>
      </w:r>
    </w:p>
    <w:p w:rsidR="00512CB1" w:rsidRDefault="00512CB1" w:rsidP="00512CB1">
      <w:pPr>
        <w:pStyle w:val="Tekstpodstawowy"/>
        <w:spacing w:line="276" w:lineRule="auto"/>
        <w:jc w:val="both"/>
        <w:rPr>
          <w:rFonts w:ascii="Century Gothic" w:hAnsi="Century Gothic"/>
          <w:w w:val="95"/>
        </w:rPr>
      </w:pPr>
    </w:p>
    <w:p w:rsidR="003E1F6D" w:rsidRPr="002E519D" w:rsidRDefault="00456268" w:rsidP="00512CB1">
      <w:pPr>
        <w:pStyle w:val="Tekstpodstawowy"/>
        <w:spacing w:line="276" w:lineRule="auto"/>
        <w:jc w:val="both"/>
        <w:rPr>
          <w:rFonts w:ascii="Century Gothic" w:hAnsi="Century Gothic"/>
          <w:b/>
        </w:rPr>
      </w:pPr>
      <w:r w:rsidRPr="002E519D">
        <w:rPr>
          <w:rFonts w:ascii="Century Gothic" w:hAnsi="Century Gothic"/>
          <w:b/>
          <w:w w:val="110"/>
        </w:rPr>
        <w:t>Jak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długo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trwa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pobyt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w w:val="110"/>
        </w:rPr>
        <w:t>w</w:t>
      </w:r>
      <w:r w:rsidR="005D1430">
        <w:rPr>
          <w:rFonts w:ascii="Century Gothic" w:hAnsi="Century Gothic"/>
          <w:b/>
          <w:w w:val="110"/>
        </w:rPr>
        <w:t xml:space="preserve"> </w:t>
      </w:r>
      <w:r w:rsidRPr="002E519D">
        <w:rPr>
          <w:rFonts w:ascii="Century Gothic" w:hAnsi="Century Gothic"/>
          <w:b/>
          <w:spacing w:val="-2"/>
          <w:w w:val="110"/>
        </w:rPr>
        <w:t>Ośrodku</w:t>
      </w:r>
    </w:p>
    <w:p w:rsidR="003E1F6D" w:rsidRPr="00A74753" w:rsidRDefault="00BF55E1" w:rsidP="00BF55E1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BF55E1">
        <w:rPr>
          <w:rFonts w:ascii="Century Gothic" w:hAnsi="Century Gothic"/>
        </w:rPr>
        <w:t xml:space="preserve">Wlew rozcieńczonego roztworu powinien trwać co najmniej jedną godzinę w przypadku dawki 600 </w:t>
      </w:r>
      <w:proofErr w:type="spellStart"/>
      <w:r w:rsidRPr="00BF55E1">
        <w:rPr>
          <w:rFonts w:ascii="Century Gothic" w:hAnsi="Century Gothic"/>
        </w:rPr>
        <w:t>mg</w:t>
      </w:r>
      <w:proofErr w:type="spellEnd"/>
      <w:r>
        <w:rPr>
          <w:rFonts w:ascii="Century Gothic" w:hAnsi="Century Gothic"/>
        </w:rPr>
        <w:t>.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Podanie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podskórne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wymaga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długiego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pobytu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</w:rPr>
        <w:t>w</w:t>
      </w:r>
      <w:r w:rsidR="005D1430">
        <w:rPr>
          <w:rFonts w:ascii="Century Gothic" w:hAnsi="Century Gothic"/>
        </w:rPr>
        <w:t xml:space="preserve"> </w:t>
      </w:r>
      <w:r w:rsidR="00456268" w:rsidRPr="00A74753">
        <w:rPr>
          <w:rFonts w:ascii="Century Gothic" w:hAnsi="Century Gothic"/>
          <w:spacing w:val="-2"/>
        </w:rPr>
        <w:t>Ośrodku.</w:t>
      </w:r>
    </w:p>
    <w:p w:rsidR="003E1F6D" w:rsidRPr="00135DE7" w:rsidRDefault="005D1430" w:rsidP="004725C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  <w:w w:val="105"/>
        </w:rPr>
        <w:t xml:space="preserve"> </w:t>
      </w:r>
      <w:r w:rsidR="00456268" w:rsidRPr="00135DE7">
        <w:rPr>
          <w:rFonts w:ascii="Century Gothic" w:hAnsi="Century Gothic"/>
          <w:b/>
          <w:w w:val="105"/>
        </w:rPr>
        <w:t>Skutki</w:t>
      </w:r>
      <w:r>
        <w:rPr>
          <w:rFonts w:ascii="Century Gothic" w:hAnsi="Century Gothic"/>
          <w:b/>
          <w:w w:val="105"/>
        </w:rPr>
        <w:t xml:space="preserve"> </w:t>
      </w:r>
      <w:r w:rsidR="00456268" w:rsidRPr="00135DE7">
        <w:rPr>
          <w:rFonts w:ascii="Century Gothic" w:hAnsi="Century Gothic"/>
          <w:b/>
          <w:spacing w:val="-2"/>
          <w:w w:val="105"/>
        </w:rPr>
        <w:t>uboczne</w:t>
      </w:r>
    </w:p>
    <w:p w:rsidR="00512CB1" w:rsidRDefault="00512CB1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Podsumowanie profilu bezpieczeństwa stosowania </w:t>
      </w:r>
    </w:p>
    <w:p w:rsidR="00512CB1" w:rsidRDefault="00512CB1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Najczęściej zgłaszanymi działaniami niepożądanymi były zakażenia górnych dróg oddechowych (15,6% w chorobie </w:t>
      </w:r>
      <w:proofErr w:type="spellStart"/>
      <w:r w:rsidRPr="00512CB1">
        <w:rPr>
          <w:rFonts w:ascii="Century Gothic" w:hAnsi="Century Gothic"/>
        </w:rPr>
        <w:t>Leśniowskiego-Crohna</w:t>
      </w:r>
      <w:proofErr w:type="spellEnd"/>
      <w:r w:rsidRPr="00512CB1">
        <w:rPr>
          <w:rFonts w:ascii="Century Gothic" w:hAnsi="Century Gothic"/>
        </w:rPr>
        <w:t xml:space="preserve"> i 26,2% we wrzodziejącym zapaleniu jelita grubego).</w:t>
      </w:r>
    </w:p>
    <w:p w:rsidR="00512CB1" w:rsidRDefault="00512CB1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Tabelaryczny wykaz działań niepożądanych </w:t>
      </w:r>
    </w:p>
    <w:p w:rsidR="003E1F6D" w:rsidRPr="00A74753" w:rsidRDefault="00512CB1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512CB1">
        <w:rPr>
          <w:rFonts w:ascii="Century Gothic" w:hAnsi="Century Gothic"/>
        </w:rPr>
        <w:t xml:space="preserve">Wykaz działań niepożądanych </w:t>
      </w:r>
      <w:proofErr w:type="spellStart"/>
      <w:r w:rsidRPr="00512CB1">
        <w:rPr>
          <w:rFonts w:ascii="Century Gothic" w:hAnsi="Century Gothic"/>
        </w:rPr>
        <w:t>ryzankizumabu</w:t>
      </w:r>
      <w:proofErr w:type="spellEnd"/>
      <w:r w:rsidRPr="00512CB1">
        <w:rPr>
          <w:rFonts w:ascii="Century Gothic" w:hAnsi="Century Gothic"/>
        </w:rPr>
        <w:t xml:space="preserve"> ustalono na podstawie danych z badań klinicznych i przedstawiono zgodnie z klasyfikacją układów i narządów </w:t>
      </w:r>
      <w:proofErr w:type="spellStart"/>
      <w:r w:rsidRPr="00512CB1">
        <w:rPr>
          <w:rFonts w:ascii="Century Gothic" w:hAnsi="Century Gothic"/>
        </w:rPr>
        <w:t>MedDRA</w:t>
      </w:r>
      <w:proofErr w:type="spellEnd"/>
      <w:r w:rsidRPr="00512CB1">
        <w:rPr>
          <w:rFonts w:ascii="Century Gothic" w:hAnsi="Century Gothic"/>
        </w:rPr>
        <w:t xml:space="preserve"> i częstością występowania: bardzo często (≥ 1/10), często (≥ 1/100 do &lt; 1/10), niezbyt często (≥ 1/1 000 do &lt; 1/100), rzadko (≥ 1/10 000 do &lt; 1/1 000), bardzo rzadko (&lt; 1/10 000) i częstość nieznana (nie może być określona na podstawie dostępnych danych). W każdej grupie częstości działań niepożądanych przedstawiono zgodnie ze zmniejszającym się stopniem ciężkości.</w:t>
      </w:r>
      <w:r w:rsidR="00AA53FA" w:rsidRPr="00A74753">
        <w:rPr>
          <w:rFonts w:ascii="Century Gothic" w:hAnsi="Century Gothic"/>
        </w:rPr>
        <w:t xml:space="preserve">Zgodnie z charakterystyką produktu leczniczego, częstotliwość i charakter działań </w:t>
      </w:r>
      <w:r w:rsidR="00C71605" w:rsidRPr="00A74753">
        <w:rPr>
          <w:rFonts w:ascii="Century Gothic" w:hAnsi="Century Gothic"/>
        </w:rPr>
        <w:t>niepożądanych</w:t>
      </w:r>
      <w:r w:rsidR="00AA53FA" w:rsidRPr="00A74753">
        <w:rPr>
          <w:rFonts w:ascii="Century Gothic" w:hAnsi="Century Gothic"/>
        </w:rPr>
        <w:t xml:space="preserve"> zestawiono w tabeli poniżej:</w:t>
      </w:r>
    </w:p>
    <w:p w:rsidR="00AA53FA" w:rsidRDefault="00512CB1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512CB1">
        <w:rPr>
          <w:rFonts w:ascii="Century Gothic" w:hAnsi="Century Gothic"/>
          <w:noProof/>
          <w:lang w:eastAsia="pl-PL"/>
        </w:rPr>
        <w:lastRenderedPageBreak/>
        <w:drawing>
          <wp:inline distT="0" distB="0" distL="0" distR="0">
            <wp:extent cx="5819727" cy="6013718"/>
            <wp:effectExtent l="19050" t="0" r="0" b="0"/>
            <wp:docPr id="18291421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4216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27" cy="601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30" w:rsidRDefault="005D1430" w:rsidP="00BD1E3F">
      <w:pPr>
        <w:pStyle w:val="Tekstpodstawowy"/>
        <w:spacing w:before="240" w:line="276" w:lineRule="auto"/>
        <w:rPr>
          <w:rFonts w:ascii="Century Gothic" w:hAnsi="Century Gothic"/>
        </w:rPr>
      </w:pPr>
    </w:p>
    <w:p w:rsidR="00D7315C" w:rsidRDefault="00D7315C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Płodność </w:t>
      </w:r>
    </w:p>
    <w:p w:rsidR="00512CB1" w:rsidRDefault="00D7315C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Nie badano wpływu </w:t>
      </w:r>
      <w:proofErr w:type="spellStart"/>
      <w:r w:rsidRPr="00D7315C">
        <w:rPr>
          <w:rFonts w:ascii="Century Gothic" w:hAnsi="Century Gothic"/>
        </w:rPr>
        <w:t>ryzankizumabu</w:t>
      </w:r>
      <w:proofErr w:type="spellEnd"/>
      <w:r w:rsidRPr="00D7315C">
        <w:rPr>
          <w:rFonts w:ascii="Century Gothic" w:hAnsi="Century Gothic"/>
        </w:rPr>
        <w:t xml:space="preserve"> na płodność u ludzi. Badania na zwierzętach nie wykazały bezpośredniego ani pośredniego szkodliwego wpływu na płodność. </w:t>
      </w:r>
    </w:p>
    <w:p w:rsidR="00512CB1" w:rsidRDefault="00D7315C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Wpływ na zdolność prowadzenia pojazdów i obsługiwania maszyn </w:t>
      </w:r>
    </w:p>
    <w:p w:rsidR="00D7315C" w:rsidRPr="004725CF" w:rsidRDefault="00D7315C" w:rsidP="00BD1E3F">
      <w:pPr>
        <w:pStyle w:val="Tekstpodstawowy"/>
        <w:spacing w:before="240" w:line="276" w:lineRule="auto"/>
        <w:rPr>
          <w:rFonts w:ascii="Century Gothic" w:hAnsi="Century Gothic"/>
        </w:rPr>
      </w:pPr>
      <w:proofErr w:type="spellStart"/>
      <w:r w:rsidRPr="00D7315C">
        <w:rPr>
          <w:rFonts w:ascii="Century Gothic" w:hAnsi="Century Gothic"/>
        </w:rPr>
        <w:t>Ryzankizumab</w:t>
      </w:r>
      <w:proofErr w:type="spellEnd"/>
      <w:r w:rsidRPr="00D7315C">
        <w:rPr>
          <w:rFonts w:ascii="Century Gothic" w:hAnsi="Century Gothic"/>
        </w:rPr>
        <w:t xml:space="preserve"> nie ma wpływu lub wywiera nieistotny wpływ na zdolność prowadzenia pojazdów i obsługiwania maszyn.</w:t>
      </w:r>
    </w:p>
    <w:p w:rsidR="003E1F6D" w:rsidRPr="002F56EC" w:rsidRDefault="00456268" w:rsidP="00BD1E3F">
      <w:pPr>
        <w:pStyle w:val="Akapitzlist"/>
        <w:numPr>
          <w:ilvl w:val="0"/>
          <w:numId w:val="1"/>
        </w:numPr>
        <w:tabs>
          <w:tab w:val="left" w:pos="348"/>
        </w:tabs>
        <w:spacing w:before="240" w:line="276" w:lineRule="auto"/>
        <w:ind w:left="348" w:hanging="279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  <w:w w:val="105"/>
        </w:rPr>
        <w:t>Alternatywne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w w:val="105"/>
        </w:rPr>
        <w:t>metody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spacing w:val="-2"/>
          <w:w w:val="105"/>
        </w:rPr>
        <w:t>leczenia</w:t>
      </w:r>
    </w:p>
    <w:p w:rsidR="003E1F6D" w:rsidRDefault="00456268" w:rsidP="00BD1E3F">
      <w:pPr>
        <w:pStyle w:val="Tekstpodstawowy"/>
        <w:spacing w:before="240" w:line="276" w:lineRule="auto"/>
        <w:ind w:left="70" w:right="25" w:firstLine="2"/>
        <w:jc w:val="both"/>
        <w:rPr>
          <w:rFonts w:ascii="Century Gothic" w:hAnsi="Century Gothic"/>
          <w:spacing w:val="-2"/>
        </w:rPr>
      </w:pPr>
      <w:r w:rsidRPr="00A74753">
        <w:rPr>
          <w:rFonts w:ascii="Century Gothic" w:hAnsi="Century Gothic"/>
        </w:rPr>
        <w:t>Należy podkreślić, że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leczenie jest obecnie jedną </w:t>
      </w:r>
      <w:r w:rsidR="00135DE7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="00C71605" w:rsidRPr="00A74753">
        <w:rPr>
          <w:rFonts w:ascii="Century Gothic" w:hAnsi="Century Gothic"/>
        </w:rPr>
        <w:t>najnowocześniejszych</w:t>
      </w:r>
      <w:r w:rsidRPr="00A74753">
        <w:rPr>
          <w:rFonts w:ascii="Century Gothic" w:hAnsi="Century Gothic"/>
        </w:rPr>
        <w:t xml:space="preserve"> metod leczenia wynikającą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nieskuteczności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terapii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innymi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metodami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tj.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brakiem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odpowiedzi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na leczenie </w:t>
      </w:r>
      <w:proofErr w:type="spellStart"/>
      <w:r w:rsidRPr="00A74753">
        <w:rPr>
          <w:rFonts w:ascii="Century Gothic" w:hAnsi="Century Gothic"/>
        </w:rPr>
        <w:t>glikokortykosteroidamii</w:t>
      </w:r>
      <w:proofErr w:type="spellEnd"/>
      <w:r w:rsidRPr="00A74753">
        <w:rPr>
          <w:rFonts w:ascii="Century Gothic" w:hAnsi="Century Gothic"/>
        </w:rPr>
        <w:t>/lub lekami immunosupresyjnymi</w:t>
      </w:r>
      <w:r w:rsidR="00D7315C">
        <w:rPr>
          <w:rFonts w:ascii="Century Gothic" w:hAnsi="Century Gothic"/>
        </w:rPr>
        <w:t xml:space="preserve"> czy</w:t>
      </w:r>
      <w:r w:rsidRPr="00A74753">
        <w:rPr>
          <w:rFonts w:ascii="Century Gothic" w:hAnsi="Century Gothic"/>
        </w:rPr>
        <w:t xml:space="preserve"> innymi lekami </w:t>
      </w:r>
      <w:r w:rsidRPr="00A74753">
        <w:rPr>
          <w:rFonts w:ascii="Century Gothic" w:hAnsi="Century Gothic"/>
          <w:spacing w:val="-2"/>
        </w:rPr>
        <w:t>biologicznymi.</w:t>
      </w:r>
    </w:p>
    <w:p w:rsidR="00135DE7" w:rsidRPr="00A74753" w:rsidRDefault="00135DE7" w:rsidP="00BD1E3F">
      <w:pPr>
        <w:pStyle w:val="Tekstpodstawowy"/>
        <w:spacing w:before="240" w:line="276" w:lineRule="auto"/>
        <w:ind w:left="70" w:right="25" w:firstLine="2"/>
        <w:jc w:val="both"/>
        <w:rPr>
          <w:rFonts w:ascii="Century Gothic" w:hAnsi="Century Gothic"/>
        </w:rPr>
      </w:pPr>
    </w:p>
    <w:p w:rsidR="003E1F6D" w:rsidRPr="002F56EC" w:rsidRDefault="00456268" w:rsidP="00BD1E3F">
      <w:pPr>
        <w:pStyle w:val="Akapitzlist"/>
        <w:numPr>
          <w:ilvl w:val="0"/>
          <w:numId w:val="1"/>
        </w:numPr>
        <w:tabs>
          <w:tab w:val="left" w:pos="274"/>
        </w:tabs>
        <w:spacing w:before="240" w:line="276" w:lineRule="auto"/>
        <w:ind w:left="274" w:hanging="200"/>
        <w:jc w:val="left"/>
        <w:rPr>
          <w:rFonts w:ascii="Century Gothic" w:hAnsi="Century Gothic"/>
          <w:b/>
        </w:rPr>
      </w:pPr>
      <w:r w:rsidRPr="002F56EC">
        <w:rPr>
          <w:rFonts w:ascii="Century Gothic" w:hAnsi="Century Gothic"/>
          <w:b/>
          <w:w w:val="105"/>
        </w:rPr>
        <w:lastRenderedPageBreak/>
        <w:t>Oświadczenie</w:t>
      </w:r>
      <w:r w:rsidR="005D1430">
        <w:rPr>
          <w:rFonts w:ascii="Century Gothic" w:hAnsi="Century Gothic"/>
          <w:b/>
          <w:w w:val="105"/>
        </w:rPr>
        <w:t xml:space="preserve"> </w:t>
      </w:r>
      <w:r w:rsidRPr="002F56EC">
        <w:rPr>
          <w:rFonts w:ascii="Century Gothic" w:hAnsi="Century Gothic"/>
          <w:b/>
          <w:spacing w:val="-2"/>
          <w:w w:val="105"/>
        </w:rPr>
        <w:t>pacjenta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firstLine="3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  <w:spacing w:val="-2"/>
        </w:rPr>
        <w:t>Oświadczam,</w:t>
      </w:r>
      <w:r w:rsidR="00135DE7">
        <w:rPr>
          <w:rFonts w:ascii="Century Gothic" w:hAnsi="Century Gothic"/>
          <w:spacing w:val="-2"/>
        </w:rPr>
        <w:t xml:space="preserve"> iż </w:t>
      </w:r>
      <w:r w:rsidRPr="00A74753">
        <w:rPr>
          <w:rFonts w:ascii="Century Gothic" w:hAnsi="Century Gothic"/>
          <w:spacing w:val="-2"/>
        </w:rPr>
        <w:t>uzyskałem/</w:t>
      </w:r>
      <w:proofErr w:type="spellStart"/>
      <w:r w:rsidRPr="00A74753">
        <w:rPr>
          <w:rFonts w:ascii="Century Gothic" w:hAnsi="Century Gothic"/>
          <w:spacing w:val="-2"/>
        </w:rPr>
        <w:t>-a</w:t>
      </w:r>
      <w:proofErr w:type="spellEnd"/>
      <w:r w:rsidRPr="00A74753">
        <w:rPr>
          <w:rFonts w:ascii="Century Gothic" w:hAnsi="Century Gothic"/>
          <w:spacing w:val="-2"/>
        </w:rPr>
        <w:t>m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wszelkie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 wyjaśnienia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dotyczące udzielanych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świadczeń </w:t>
      </w:r>
      <w:r w:rsidRPr="00A74753">
        <w:rPr>
          <w:rFonts w:ascii="Century Gothic" w:hAnsi="Century Gothic"/>
        </w:rPr>
        <w:t>zdrowotnych w moim przypadku.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right="521" w:firstLine="4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Zostałem/</w:t>
      </w:r>
      <w:proofErr w:type="spellStart"/>
      <w:r w:rsidRPr="00A74753">
        <w:rPr>
          <w:rFonts w:ascii="Century Gothic" w:hAnsi="Century Gothic"/>
        </w:rPr>
        <w:t>-a</w:t>
      </w:r>
      <w:proofErr w:type="spellEnd"/>
      <w:r w:rsidRPr="00A74753">
        <w:rPr>
          <w:rFonts w:ascii="Century Gothic" w:hAnsi="Century Gothic"/>
        </w:rPr>
        <w:t>m poinformowany/-a o ryzyku związanym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udzieleniem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świadczenia zdrowotnego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konsekwencjach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wynikających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zaniechania zleconych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świadczeń z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ich samowolną modyfikacją włącznie.</w:t>
      </w:r>
    </w:p>
    <w:p w:rsidR="003E1F6D" w:rsidRPr="00A74753" w:rsidRDefault="00456268" w:rsidP="00D7315C">
      <w:pPr>
        <w:pStyle w:val="Tekstpodstawowy"/>
        <w:spacing w:before="240" w:line="276" w:lineRule="auto"/>
        <w:ind w:left="66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Zostałem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poinformowany/-a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zastosowania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alternatywnych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świadczeń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zdrowotnych.</w:t>
      </w:r>
    </w:p>
    <w:p w:rsidR="003E1F6D" w:rsidRPr="00A74753" w:rsidRDefault="00456268" w:rsidP="00D7315C">
      <w:pPr>
        <w:pStyle w:val="Tekstpodstawowy"/>
        <w:spacing w:before="240" w:line="276" w:lineRule="auto"/>
        <w:ind w:left="68" w:hanging="3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Zapewniono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ograniczone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możliwości zadawania pytań dotyczących udzielanych świadczeń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wszystkie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udzielono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wyczerpujących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zrozumiałych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odpowiedzi oraz </w:t>
      </w:r>
      <w:r w:rsidRPr="00A74753">
        <w:rPr>
          <w:rFonts w:ascii="Century Gothic" w:hAnsi="Century Gothic"/>
          <w:spacing w:val="-2"/>
        </w:rPr>
        <w:t>wyjaśnień.</w:t>
      </w:r>
    </w:p>
    <w:p w:rsidR="003E1F6D" w:rsidRPr="00A74753" w:rsidRDefault="00456268" w:rsidP="00D7315C">
      <w:pPr>
        <w:pStyle w:val="Tekstpodstawowy"/>
        <w:spacing w:before="240" w:line="276" w:lineRule="auto"/>
        <w:ind w:left="66" w:right="907" w:hanging="1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Znane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są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możliwe reakcje organizmu po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udzieleniu świadczenia </w:t>
      </w:r>
      <w:r w:rsidR="006002B2">
        <w:rPr>
          <w:rFonts w:ascii="Century Gothic" w:hAnsi="Century Gothic"/>
        </w:rPr>
        <w:br/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jednocześnie </w:t>
      </w:r>
      <w:r w:rsidRPr="00A74753">
        <w:rPr>
          <w:rFonts w:ascii="Century Gothic" w:hAnsi="Century Gothic"/>
          <w:spacing w:val="-2"/>
        </w:rPr>
        <w:t>zobowiązuję się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do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niezwłocznego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informowania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>ośrodka udzielającego</w:t>
      </w:r>
      <w:r w:rsidR="005D1430">
        <w:rPr>
          <w:rFonts w:ascii="Century Gothic" w:hAnsi="Century Gothic"/>
          <w:spacing w:val="-2"/>
        </w:rPr>
        <w:t xml:space="preserve"> </w:t>
      </w:r>
      <w:r w:rsidRPr="00A74753">
        <w:rPr>
          <w:rFonts w:ascii="Century Gothic" w:hAnsi="Century Gothic"/>
          <w:spacing w:val="-2"/>
        </w:rPr>
        <w:t xml:space="preserve">świadczenie </w:t>
      </w:r>
      <w:r w:rsidRPr="00A74753">
        <w:rPr>
          <w:rFonts w:ascii="Century Gothic" w:hAnsi="Century Gothic"/>
        </w:rPr>
        <w:t>o zmianach statusu zdrowia.</w:t>
      </w:r>
    </w:p>
    <w:p w:rsidR="003E1F6D" w:rsidRPr="00A74753" w:rsidRDefault="004725CF" w:rsidP="00C148C0">
      <w:pPr>
        <w:pStyle w:val="Tekstpodstawowy"/>
        <w:spacing w:before="240" w:line="276" w:lineRule="auto"/>
        <w:rPr>
          <w:rFonts w:ascii="Century Gothic" w:hAnsi="Century Gothic"/>
          <w:b/>
          <w:position w:val="1"/>
        </w:rPr>
      </w:pPr>
      <w:r w:rsidRPr="00A74753">
        <w:rPr>
          <w:rFonts w:ascii="Century Gothic" w:hAnsi="Century Gothic"/>
          <w:b/>
          <w:position w:val="1"/>
          <w:u w:val="single" w:color="383844"/>
        </w:rPr>
        <w:t>Doty</w:t>
      </w:r>
      <w:r w:rsidR="00456268" w:rsidRPr="00A74753">
        <w:rPr>
          <w:rFonts w:ascii="Century Gothic" w:hAnsi="Century Gothic"/>
          <w:b/>
          <w:position w:val="1"/>
          <w:u w:val="single" w:color="383844"/>
        </w:rPr>
        <w:t>czy</w:t>
      </w:r>
      <w:r w:rsidR="006002B2">
        <w:rPr>
          <w:rFonts w:ascii="Century Gothic" w:hAnsi="Century Gothic"/>
          <w:b/>
          <w:position w:val="1"/>
          <w:u w:val="single" w:color="383844"/>
        </w:rPr>
        <w:t xml:space="preserve">  k</w:t>
      </w:r>
      <w:r w:rsidR="00456268" w:rsidRPr="00A74753">
        <w:rPr>
          <w:rFonts w:ascii="Century Gothic" w:hAnsi="Century Gothic"/>
          <w:b/>
          <w:spacing w:val="-2"/>
          <w:position w:val="1"/>
          <w:u w:val="single" w:color="383844"/>
        </w:rPr>
        <w:t>obiet:</w:t>
      </w:r>
    </w:p>
    <w:p w:rsidR="00D7315C" w:rsidRDefault="00D7315C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Kobiety w wieku rozrodczym powinny stosować skuteczną metodę zapobiegania ciąży w trakcie leczenia i przez co najmniej 21 tygodni po jego zakończeniu. </w:t>
      </w:r>
    </w:p>
    <w:p w:rsidR="00C71605" w:rsidRPr="00A74753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Ciąża</w:t>
      </w:r>
    </w:p>
    <w:p w:rsidR="00D7315C" w:rsidRDefault="00D7315C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Brak danych lub istnieją tylko ograniczone dane (mniej niż 300 kobiet w ciąży) dotyczące stosowania </w:t>
      </w:r>
      <w:proofErr w:type="spellStart"/>
      <w:r w:rsidRPr="00D7315C">
        <w:rPr>
          <w:rFonts w:ascii="Century Gothic" w:hAnsi="Century Gothic"/>
        </w:rPr>
        <w:t>ryzankizumabu</w:t>
      </w:r>
      <w:proofErr w:type="spellEnd"/>
      <w:r w:rsidRPr="00D7315C">
        <w:rPr>
          <w:rFonts w:ascii="Century Gothic" w:hAnsi="Century Gothic"/>
        </w:rPr>
        <w:t xml:space="preserve"> u kobiet w okresie ciąży. Badania na zwierzętach nie wykazały bezpośredniego ani pośredniego szkodliwego wpływu na reprodukcję. W celu zachowania ostrożności zaleca się unikanie stosowania </w:t>
      </w:r>
      <w:proofErr w:type="spellStart"/>
      <w:r w:rsidRPr="00D7315C">
        <w:rPr>
          <w:rFonts w:ascii="Century Gothic" w:hAnsi="Century Gothic"/>
        </w:rPr>
        <w:t>ryzankizumabu</w:t>
      </w:r>
      <w:proofErr w:type="spellEnd"/>
      <w:r w:rsidRPr="00D7315C">
        <w:rPr>
          <w:rFonts w:ascii="Century Gothic" w:hAnsi="Century Gothic"/>
        </w:rPr>
        <w:t xml:space="preserve"> w okresie ciąży.</w:t>
      </w:r>
    </w:p>
    <w:p w:rsidR="00C71605" w:rsidRPr="00A74753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Karmienie piersią</w:t>
      </w:r>
    </w:p>
    <w:p w:rsidR="00D7315C" w:rsidRDefault="00D7315C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D7315C">
        <w:rPr>
          <w:rFonts w:ascii="Century Gothic" w:hAnsi="Century Gothic"/>
        </w:rPr>
        <w:t xml:space="preserve">Nie wiadomo, czy </w:t>
      </w:r>
      <w:proofErr w:type="spellStart"/>
      <w:r w:rsidRPr="00D7315C">
        <w:rPr>
          <w:rFonts w:ascii="Century Gothic" w:hAnsi="Century Gothic"/>
        </w:rPr>
        <w:t>ryzankizumab</w:t>
      </w:r>
      <w:proofErr w:type="spellEnd"/>
      <w:r w:rsidRPr="00D7315C">
        <w:rPr>
          <w:rFonts w:ascii="Century Gothic" w:hAnsi="Century Gothic"/>
        </w:rPr>
        <w:t xml:space="preserve"> przenika do mleka ludzkiego. Wiadomo, że ludzkie immunoglobuliny typu G (</w:t>
      </w:r>
      <w:proofErr w:type="spellStart"/>
      <w:r w:rsidRPr="00D7315C">
        <w:rPr>
          <w:rFonts w:ascii="Century Gothic" w:hAnsi="Century Gothic"/>
        </w:rPr>
        <w:t>IgG</w:t>
      </w:r>
      <w:proofErr w:type="spellEnd"/>
      <w:r w:rsidRPr="00D7315C">
        <w:rPr>
          <w:rFonts w:ascii="Century Gothic" w:hAnsi="Century Gothic"/>
        </w:rPr>
        <w:t xml:space="preserve">) przenikają do mleka matki w ciągu pierwszych kilku dni po porodzie, a wkrótce potem ich stężenie się obniża. W konsekwencji w tym krótkim okresie nie można wykluczyć ryzyka dla karmionego piersią niemowlęcia. Należy podjąć decyzję, czy przerwać leczenie </w:t>
      </w:r>
      <w:proofErr w:type="spellStart"/>
      <w:r w:rsidRPr="00D7315C">
        <w:rPr>
          <w:rFonts w:ascii="Century Gothic" w:hAnsi="Century Gothic"/>
        </w:rPr>
        <w:t>ryzankizumabem</w:t>
      </w:r>
      <w:proofErr w:type="spellEnd"/>
      <w:r w:rsidRPr="00D7315C">
        <w:rPr>
          <w:rFonts w:ascii="Century Gothic" w:hAnsi="Century Gothic"/>
        </w:rPr>
        <w:t xml:space="preserve"> lub go nie stosować, biorąc pod uwagę korzyści karmienia piersią dla dziecka i korzyści leczenia </w:t>
      </w:r>
      <w:proofErr w:type="spellStart"/>
      <w:r w:rsidRPr="00D7315C">
        <w:rPr>
          <w:rFonts w:ascii="Century Gothic" w:hAnsi="Century Gothic"/>
        </w:rPr>
        <w:t>ryzankizumabem</w:t>
      </w:r>
      <w:proofErr w:type="spellEnd"/>
      <w:r w:rsidRPr="00D7315C">
        <w:rPr>
          <w:rFonts w:ascii="Century Gothic" w:hAnsi="Century Gothic"/>
        </w:rPr>
        <w:t xml:space="preserve"> dla kobiety.</w:t>
      </w:r>
    </w:p>
    <w:p w:rsidR="002F56EC" w:rsidRDefault="00C71605" w:rsidP="00BD1E3F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 świadomą zgodę na kontrole urodzeń w trakcie leczeni</w:t>
      </w:r>
      <w:r w:rsidR="00D7315C">
        <w:rPr>
          <w:rFonts w:ascii="Century Gothic" w:hAnsi="Century Gothic"/>
        </w:rPr>
        <w:t>a</w:t>
      </w:r>
      <w:r w:rsidRPr="00A74753">
        <w:rPr>
          <w:rFonts w:ascii="Century Gothic" w:hAnsi="Century Gothic"/>
        </w:rPr>
        <w:t xml:space="preserve"> i </w:t>
      </w:r>
      <w:proofErr w:type="spellStart"/>
      <w:r w:rsidR="00D7315C" w:rsidRPr="00D7315C">
        <w:rPr>
          <w:rFonts w:ascii="Century Gothic" w:hAnsi="Century Gothic"/>
        </w:rPr>
        <w:t>i</w:t>
      </w:r>
      <w:proofErr w:type="spellEnd"/>
      <w:r w:rsidR="00D7315C" w:rsidRPr="00D7315C">
        <w:rPr>
          <w:rFonts w:ascii="Century Gothic" w:hAnsi="Century Gothic"/>
        </w:rPr>
        <w:t xml:space="preserve"> przez co najmniej 21 tygodni po jego zakończeniu.</w:t>
      </w:r>
    </w:p>
    <w:p w:rsidR="003E1F6D" w:rsidRPr="00A74753" w:rsidRDefault="00BD1E3F" w:rsidP="00BD1E3F">
      <w:pPr>
        <w:pStyle w:val="Tekstpodstawowy"/>
        <w:spacing w:before="240" w:line="276" w:lineRule="auto"/>
        <w:jc w:val="both"/>
        <w:rPr>
          <w:rFonts w:ascii="Century Gothic" w:hAnsi="Century Gothic"/>
          <w:b/>
        </w:rPr>
      </w:pPr>
      <w:r w:rsidRPr="00A74753">
        <w:rPr>
          <w:rFonts w:ascii="Century Gothic" w:hAnsi="Century Gothic"/>
          <w:b/>
        </w:rPr>
        <w:t>Z</w:t>
      </w:r>
      <w:r w:rsidR="00456268" w:rsidRPr="00A74753">
        <w:rPr>
          <w:rFonts w:ascii="Century Gothic" w:hAnsi="Century Gothic"/>
          <w:b/>
        </w:rPr>
        <w:t>goda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</w:rPr>
        <w:t>na</w:t>
      </w:r>
      <w:r w:rsidR="00080131">
        <w:rPr>
          <w:rFonts w:ascii="Century Gothic" w:hAnsi="Century Gothic"/>
          <w:b/>
        </w:rPr>
        <w:t xml:space="preserve"> </w:t>
      </w:r>
      <w:r w:rsidR="00456268" w:rsidRPr="00A74753">
        <w:rPr>
          <w:rFonts w:ascii="Century Gothic" w:hAnsi="Century Gothic"/>
          <w:b/>
          <w:spacing w:val="-2"/>
        </w:rPr>
        <w:t>leczenie</w:t>
      </w:r>
    </w:p>
    <w:p w:rsidR="003E1F6D" w:rsidRPr="00A74753" w:rsidRDefault="00456268" w:rsidP="006002B2">
      <w:pPr>
        <w:pStyle w:val="Tekstpodstawowy"/>
        <w:spacing w:before="240" w:line="276" w:lineRule="auto"/>
        <w:ind w:left="35" w:right="521" w:firstLine="20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Wyrażam</w:t>
      </w:r>
      <w:r w:rsidR="005D1430">
        <w:rPr>
          <w:rFonts w:ascii="Century Gothic" w:hAnsi="Century Gothic"/>
        </w:rPr>
        <w:t xml:space="preserve"> </w:t>
      </w:r>
      <w:r w:rsidR="004725CF" w:rsidRPr="00A74753">
        <w:rPr>
          <w:rFonts w:ascii="Century Gothic" w:hAnsi="Century Gothic"/>
        </w:rPr>
        <w:t>zgodę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na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zaproponowane mi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leczenie</w:t>
      </w:r>
      <w:r w:rsidR="005D1430">
        <w:rPr>
          <w:rFonts w:ascii="Century Gothic" w:hAnsi="Century Gothic"/>
        </w:rPr>
        <w:t xml:space="preserve"> </w:t>
      </w:r>
      <w:r w:rsidR="00D7315C">
        <w:rPr>
          <w:rFonts w:ascii="Century Gothic" w:hAnsi="Century Gothic"/>
        </w:rPr>
        <w:t xml:space="preserve">choroby </w:t>
      </w:r>
      <w:proofErr w:type="spellStart"/>
      <w:r w:rsidR="00D7315C">
        <w:rPr>
          <w:rFonts w:ascii="Century Gothic" w:hAnsi="Century Gothic"/>
        </w:rPr>
        <w:t>Leśniowskiego-Crohna</w:t>
      </w:r>
      <w:proofErr w:type="spellEnd"/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w ramach Programu </w:t>
      </w:r>
      <w:r w:rsidR="00D7315C">
        <w:rPr>
          <w:rFonts w:ascii="Century Gothic" w:hAnsi="Century Gothic"/>
        </w:rPr>
        <w:t>L</w:t>
      </w:r>
      <w:r w:rsidRPr="00A74753">
        <w:rPr>
          <w:rFonts w:ascii="Century Gothic" w:hAnsi="Century Gothic"/>
        </w:rPr>
        <w:t xml:space="preserve">ekowego </w:t>
      </w:r>
      <w:r w:rsidR="006002B2">
        <w:rPr>
          <w:rFonts w:ascii="Century Gothic" w:hAnsi="Century Gothic"/>
        </w:rPr>
        <w:t xml:space="preserve">substancją leczniczą </w:t>
      </w:r>
      <w:proofErr w:type="spellStart"/>
      <w:r w:rsidR="00D7315C" w:rsidRPr="00D7315C">
        <w:rPr>
          <w:rFonts w:ascii="Century Gothic" w:hAnsi="Century Gothic"/>
          <w:b/>
          <w:spacing w:val="-2"/>
        </w:rPr>
        <w:t>Ryzankizumab</w:t>
      </w:r>
      <w:proofErr w:type="spellEnd"/>
      <w:r w:rsidRPr="00A74753">
        <w:rPr>
          <w:rFonts w:ascii="Century Gothic" w:hAnsi="Century Gothic"/>
        </w:rPr>
        <w:t>.</w:t>
      </w:r>
    </w:p>
    <w:p w:rsidR="003E1F6D" w:rsidRPr="00A74753" w:rsidRDefault="00456268" w:rsidP="006002B2">
      <w:pPr>
        <w:pStyle w:val="Tekstpodstawowy"/>
        <w:spacing w:before="240" w:line="276" w:lineRule="auto"/>
        <w:ind w:left="34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3E1F6D" w:rsidRPr="00A74753" w:rsidRDefault="00C71605" w:rsidP="006002B2">
      <w:pPr>
        <w:pStyle w:val="Tekstpodstawowy"/>
        <w:spacing w:before="240" w:line="276" w:lineRule="auto"/>
        <w:jc w:val="both"/>
        <w:rPr>
          <w:rFonts w:ascii="Century Gothic" w:hAnsi="Century Gothic"/>
        </w:rPr>
      </w:pPr>
      <w:r w:rsidRPr="00A74753">
        <w:rPr>
          <w:rFonts w:ascii="Century Gothic" w:hAnsi="Century Gothic"/>
        </w:rPr>
        <w:lastRenderedPageBreak/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before="240" w:line="276" w:lineRule="auto"/>
        <w:ind w:left="34"/>
        <w:rPr>
          <w:rFonts w:ascii="Century Gothic" w:hAnsi="Century Gothic"/>
          <w:spacing w:val="-10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6002B2">
        <w:rPr>
          <w:rFonts w:ascii="Century Gothic" w:hAnsi="Century Gothic"/>
        </w:rPr>
        <w:t>:</w:t>
      </w:r>
    </w:p>
    <w:p w:rsidR="00C71605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456268" w:rsidP="00BD1E3F">
      <w:pPr>
        <w:pStyle w:val="Tekstpodstawowy"/>
        <w:spacing w:before="240" w:line="276" w:lineRule="auto"/>
        <w:ind w:left="39"/>
        <w:rPr>
          <w:rFonts w:ascii="Century Gothic" w:hAnsi="Century Gothic"/>
          <w:b/>
          <w:spacing w:val="-2"/>
          <w:position w:val="1"/>
        </w:rPr>
      </w:pPr>
      <w:r w:rsidRPr="00A74753">
        <w:rPr>
          <w:rFonts w:ascii="Century Gothic" w:hAnsi="Century Gothic"/>
          <w:b/>
          <w:position w:val="1"/>
        </w:rPr>
        <w:t>Nie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wyrażam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="004725CF" w:rsidRPr="00A74753">
        <w:rPr>
          <w:rFonts w:ascii="Century Gothic" w:hAnsi="Century Gothic"/>
          <w:b/>
          <w:position w:val="2"/>
        </w:rPr>
        <w:t xml:space="preserve">zgody </w:t>
      </w:r>
      <w:r w:rsidRPr="00A74753">
        <w:rPr>
          <w:rFonts w:ascii="Century Gothic" w:hAnsi="Century Gothic"/>
          <w:b/>
          <w:position w:val="1"/>
        </w:rPr>
        <w:t>na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position w:val="1"/>
        </w:rPr>
        <w:t>zaproponowane</w:t>
      </w:r>
      <w:r w:rsidR="005D1430">
        <w:rPr>
          <w:rFonts w:ascii="Century Gothic" w:hAnsi="Century Gothic"/>
          <w:b/>
          <w:position w:val="1"/>
        </w:rPr>
        <w:t xml:space="preserve"> </w:t>
      </w:r>
      <w:r w:rsidRPr="00A74753">
        <w:rPr>
          <w:rFonts w:ascii="Century Gothic" w:hAnsi="Century Gothic"/>
          <w:b/>
          <w:spacing w:val="-2"/>
          <w:position w:val="1"/>
        </w:rPr>
        <w:t>leczenie.</w:t>
      </w:r>
      <w:r w:rsidR="004E5E03" w:rsidRPr="00A74753">
        <w:rPr>
          <w:rFonts w:ascii="Century Gothic" w:hAnsi="Century Gothic"/>
          <w:b/>
          <w:spacing w:val="-2"/>
          <w:position w:val="1"/>
        </w:rPr>
        <w:t xml:space="preserve"> Zostałem/</w:t>
      </w:r>
      <w:proofErr w:type="spellStart"/>
      <w:r w:rsidR="004E5E03" w:rsidRPr="00A74753">
        <w:rPr>
          <w:rFonts w:ascii="Century Gothic" w:hAnsi="Century Gothic"/>
          <w:b/>
          <w:spacing w:val="-2"/>
          <w:position w:val="1"/>
        </w:rPr>
        <w:t>am</w:t>
      </w:r>
      <w:proofErr w:type="spellEnd"/>
      <w:r w:rsidR="004E5E03" w:rsidRPr="00A74753">
        <w:rPr>
          <w:rFonts w:ascii="Century Gothic" w:hAnsi="Century Gothic"/>
          <w:b/>
          <w:spacing w:val="-2"/>
          <w:position w:val="1"/>
        </w:rPr>
        <w:t xml:space="preserve"> poinformowany/a</w:t>
      </w:r>
      <w:r w:rsidR="004E5E03" w:rsidRPr="00A74753">
        <w:rPr>
          <w:rFonts w:ascii="Century Gothic" w:hAnsi="Century Gothic"/>
          <w:b/>
          <w:spacing w:val="-2"/>
          <w:position w:val="1"/>
        </w:rPr>
        <w:br/>
        <w:t xml:space="preserve"> o skutkach odmowy zgody na proponowane leczenie.</w:t>
      </w:r>
    </w:p>
    <w:p w:rsidR="004E5E03" w:rsidRPr="00A74753" w:rsidRDefault="004E5E03" w:rsidP="00BD1E3F">
      <w:pPr>
        <w:pStyle w:val="Tekstpodstawowy"/>
        <w:spacing w:before="240" w:line="276" w:lineRule="auto"/>
        <w:ind w:left="39"/>
        <w:rPr>
          <w:rFonts w:ascii="Century Gothic" w:hAnsi="Century Gothic"/>
          <w:spacing w:val="-2"/>
          <w:position w:val="1"/>
        </w:rPr>
      </w:pPr>
      <w:r w:rsidRPr="00A74753">
        <w:rPr>
          <w:rFonts w:ascii="Century Gothic" w:hAnsi="Century Gothic"/>
          <w:spacing w:val="-2"/>
          <w:position w:val="1"/>
        </w:rPr>
        <w:t>Uzasadnienie przez pacjenta/opiekuna prawnego odmowy wyrażenia zgodny na proponowane leczenie.</w:t>
      </w:r>
    </w:p>
    <w:p w:rsidR="004E5E03" w:rsidRPr="00A74753" w:rsidRDefault="004E5E03" w:rsidP="004E5E03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4E5E03" w:rsidRPr="00A74753" w:rsidRDefault="004E5E03" w:rsidP="004E5E03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4E5E03" w:rsidRPr="00A74753" w:rsidRDefault="004E5E03" w:rsidP="004E5E03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4E5E03" w:rsidRPr="00A74753" w:rsidRDefault="004E5E03" w:rsidP="004E5E03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4E5E03" w:rsidRPr="00A74753" w:rsidRDefault="004E5E03" w:rsidP="00BD1E3F">
      <w:pPr>
        <w:pStyle w:val="Tekstpodstawowy"/>
        <w:spacing w:before="240" w:line="276" w:lineRule="auto"/>
        <w:ind w:left="39"/>
        <w:rPr>
          <w:rFonts w:ascii="Century Gothic" w:hAnsi="Century Gothic"/>
          <w:b/>
          <w:position w:val="1"/>
        </w:rPr>
      </w:pPr>
    </w:p>
    <w:p w:rsidR="003E1F6D" w:rsidRPr="00A74753" w:rsidRDefault="00456268" w:rsidP="00BD1E3F">
      <w:pPr>
        <w:pStyle w:val="Tekstpodstawowy"/>
        <w:spacing w:before="240" w:line="276" w:lineRule="auto"/>
        <w:ind w:left="29"/>
        <w:rPr>
          <w:rFonts w:ascii="Century Gothic" w:hAnsi="Century Gothic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czytelny 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pacjenta/</w:t>
      </w:r>
      <w:r w:rsidR="004725CF" w:rsidRPr="00A74753">
        <w:rPr>
          <w:rFonts w:ascii="Century Gothic" w:hAnsi="Century Gothic"/>
        </w:rPr>
        <w:t>przedstawiciela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  <w:spacing w:val="-2"/>
        </w:rPr>
        <w:t>ustawowego:</w:t>
      </w:r>
    </w:p>
    <w:p w:rsidR="00C71605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3E1F6D" w:rsidRPr="00A74753" w:rsidRDefault="003E1F6D" w:rsidP="00BD1E3F">
      <w:pPr>
        <w:pStyle w:val="Tekstpodstawowy"/>
        <w:spacing w:before="240" w:line="276" w:lineRule="auto"/>
        <w:rPr>
          <w:rFonts w:ascii="Century Gothic" w:hAnsi="Century Gothic"/>
        </w:rPr>
      </w:pPr>
    </w:p>
    <w:p w:rsidR="003E1F6D" w:rsidRPr="00A74753" w:rsidRDefault="00456268" w:rsidP="00BD1E3F">
      <w:pPr>
        <w:pStyle w:val="Tekstpodstawowy"/>
        <w:spacing w:before="240" w:line="276" w:lineRule="auto"/>
        <w:ind w:left="24"/>
        <w:rPr>
          <w:rFonts w:ascii="Century Gothic" w:hAnsi="Century Gothic"/>
          <w:spacing w:val="12"/>
        </w:rPr>
      </w:pPr>
      <w:r w:rsidRPr="00A74753">
        <w:rPr>
          <w:rFonts w:ascii="Century Gothic" w:hAnsi="Century Gothic"/>
        </w:rPr>
        <w:t>Data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 xml:space="preserve"> i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podpis</w:t>
      </w:r>
      <w:r w:rsidR="005D1430">
        <w:rPr>
          <w:rFonts w:ascii="Century Gothic" w:hAnsi="Century Gothic"/>
        </w:rPr>
        <w:t xml:space="preserve"> </w:t>
      </w:r>
      <w:r w:rsidRPr="00A74753">
        <w:rPr>
          <w:rFonts w:ascii="Century Gothic" w:hAnsi="Century Gothic"/>
        </w:rPr>
        <w:t>lekarza</w:t>
      </w:r>
      <w:r w:rsidR="000622E8">
        <w:rPr>
          <w:rFonts w:ascii="Century Gothic" w:hAnsi="Century Gothic"/>
        </w:rPr>
        <w:t>:</w:t>
      </w:r>
    </w:p>
    <w:p w:rsidR="00C71605" w:rsidRPr="00A74753" w:rsidRDefault="00C71605" w:rsidP="00BD1E3F">
      <w:pPr>
        <w:pStyle w:val="Tekstpodstawowy"/>
        <w:spacing w:before="240" w:line="276" w:lineRule="auto"/>
        <w:rPr>
          <w:rFonts w:ascii="Century Gothic" w:hAnsi="Century Gothic"/>
        </w:rPr>
      </w:pPr>
      <w:r w:rsidRPr="00A74753">
        <w:rPr>
          <w:rFonts w:ascii="Century Gothic" w:hAnsi="Century Gothic"/>
        </w:rPr>
        <w:t>…………………………………………………………………………………………………………..</w:t>
      </w:r>
    </w:p>
    <w:p w:rsidR="00BD1E3F" w:rsidRPr="00A74753" w:rsidRDefault="00BD1E3F" w:rsidP="00BD1E3F">
      <w:pPr>
        <w:pStyle w:val="Tekstpodstawowy"/>
        <w:spacing w:before="240" w:line="276" w:lineRule="auto"/>
        <w:rPr>
          <w:rFonts w:ascii="Century Gothic" w:hAnsi="Century Gothic"/>
        </w:rPr>
      </w:pPr>
    </w:p>
    <w:p w:rsidR="00BD1E3F" w:rsidRPr="00A74753" w:rsidRDefault="00BD1E3F" w:rsidP="00BD1E3F">
      <w:pPr>
        <w:pStyle w:val="Tekstpodstawowy"/>
        <w:spacing w:before="240" w:line="276" w:lineRule="auto"/>
        <w:rPr>
          <w:rFonts w:ascii="Century Gothic" w:hAnsi="Century Gothic"/>
        </w:rPr>
      </w:pPr>
    </w:p>
    <w:p w:rsidR="00BD1E3F" w:rsidRPr="00A74753" w:rsidRDefault="00BD1E3F" w:rsidP="00BD1E3F">
      <w:pPr>
        <w:pStyle w:val="Tekstpodstawowy"/>
        <w:spacing w:before="240" w:line="276" w:lineRule="auto"/>
        <w:rPr>
          <w:rFonts w:ascii="Century Gothic" w:hAnsi="Century Gothic"/>
        </w:rPr>
      </w:pPr>
    </w:p>
    <w:sectPr w:rsidR="00BD1E3F" w:rsidRPr="00A74753" w:rsidSect="004E5E03">
      <w:headerReference w:type="default" r:id="rId8"/>
      <w:pgSz w:w="11900" w:h="16820"/>
      <w:pgMar w:top="568" w:right="1275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BC" w:rsidRDefault="00C242BC" w:rsidP="004725CF">
      <w:r>
        <w:separator/>
      </w:r>
    </w:p>
  </w:endnote>
  <w:endnote w:type="continuationSeparator" w:id="0">
    <w:p w:rsidR="00C242BC" w:rsidRDefault="00C242BC" w:rsidP="0047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BC" w:rsidRDefault="00C242BC" w:rsidP="004725CF">
      <w:r>
        <w:separator/>
      </w:r>
    </w:p>
  </w:footnote>
  <w:footnote w:type="continuationSeparator" w:id="0">
    <w:p w:rsidR="00C242BC" w:rsidRDefault="00C242BC" w:rsidP="0047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31" w:rsidRPr="00080131" w:rsidRDefault="00080131" w:rsidP="00080131">
    <w:pPr>
      <w:pStyle w:val="Nagwek"/>
      <w:jc w:val="right"/>
      <w:rPr>
        <w:rFonts w:ascii="Century Gothic" w:hAnsi="Century Gothic"/>
        <w:sz w:val="20"/>
        <w:szCs w:val="20"/>
      </w:rPr>
    </w:pPr>
    <w:r w:rsidRPr="00080131">
      <w:rPr>
        <w:rFonts w:ascii="Century Gothic" w:hAnsi="Century Gothic"/>
        <w:sz w:val="20"/>
        <w:szCs w:val="20"/>
      </w:rPr>
      <w:t>PR4_F557_w1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7505"/>
    <w:multiLevelType w:val="hybridMultilevel"/>
    <w:tmpl w:val="067AC826"/>
    <w:lvl w:ilvl="0" w:tplc="155241D2">
      <w:start w:val="2"/>
      <w:numFmt w:val="upperRoman"/>
      <w:lvlText w:val="%1"/>
      <w:lvlJc w:val="left"/>
      <w:pPr>
        <w:ind w:left="217" w:hanging="187"/>
        <w:jc w:val="right"/>
      </w:pPr>
      <w:rPr>
        <w:rFonts w:hint="default"/>
        <w:b/>
        <w:spacing w:val="-1"/>
        <w:w w:val="101"/>
        <w:sz w:val="22"/>
        <w:szCs w:val="22"/>
        <w:lang w:val="pl-PL" w:eastAsia="en-US" w:bidi="ar-SA"/>
      </w:rPr>
    </w:lvl>
    <w:lvl w:ilvl="1" w:tplc="72C2DFE4">
      <w:numFmt w:val="bullet"/>
      <w:lvlText w:val="•"/>
      <w:lvlJc w:val="left"/>
      <w:pPr>
        <w:ind w:left="85" w:hanging="161"/>
      </w:pPr>
      <w:rPr>
        <w:rFonts w:ascii="Arial" w:eastAsia="Arial" w:hAnsi="Arial" w:cs="Arial" w:hint="default"/>
        <w:spacing w:val="0"/>
        <w:w w:val="98"/>
        <w:lang w:val="pl-PL" w:eastAsia="en-US" w:bidi="ar-SA"/>
      </w:rPr>
    </w:lvl>
    <w:lvl w:ilvl="2" w:tplc="BCFA55E2">
      <w:numFmt w:val="bullet"/>
      <w:lvlText w:val="•"/>
      <w:lvlJc w:val="left"/>
      <w:pPr>
        <w:ind w:left="1218" w:hanging="161"/>
      </w:pPr>
      <w:rPr>
        <w:rFonts w:hint="default"/>
        <w:lang w:val="pl-PL" w:eastAsia="en-US" w:bidi="ar-SA"/>
      </w:rPr>
    </w:lvl>
    <w:lvl w:ilvl="3" w:tplc="4BAED8CC">
      <w:numFmt w:val="bullet"/>
      <w:lvlText w:val="•"/>
      <w:lvlJc w:val="left"/>
      <w:pPr>
        <w:ind w:left="2217" w:hanging="161"/>
      </w:pPr>
      <w:rPr>
        <w:rFonts w:hint="default"/>
        <w:lang w:val="pl-PL" w:eastAsia="en-US" w:bidi="ar-SA"/>
      </w:rPr>
    </w:lvl>
    <w:lvl w:ilvl="4" w:tplc="AA782EAC">
      <w:numFmt w:val="bullet"/>
      <w:lvlText w:val="•"/>
      <w:lvlJc w:val="left"/>
      <w:pPr>
        <w:ind w:left="3216" w:hanging="161"/>
      </w:pPr>
      <w:rPr>
        <w:rFonts w:hint="default"/>
        <w:lang w:val="pl-PL" w:eastAsia="en-US" w:bidi="ar-SA"/>
      </w:rPr>
    </w:lvl>
    <w:lvl w:ilvl="5" w:tplc="D12E4BC6">
      <w:numFmt w:val="bullet"/>
      <w:lvlText w:val="•"/>
      <w:lvlJc w:val="left"/>
      <w:pPr>
        <w:ind w:left="4214" w:hanging="161"/>
      </w:pPr>
      <w:rPr>
        <w:rFonts w:hint="default"/>
        <w:lang w:val="pl-PL" w:eastAsia="en-US" w:bidi="ar-SA"/>
      </w:rPr>
    </w:lvl>
    <w:lvl w:ilvl="6" w:tplc="7DF4967A">
      <w:numFmt w:val="bullet"/>
      <w:lvlText w:val="•"/>
      <w:lvlJc w:val="left"/>
      <w:pPr>
        <w:ind w:left="5213" w:hanging="161"/>
      </w:pPr>
      <w:rPr>
        <w:rFonts w:hint="default"/>
        <w:lang w:val="pl-PL" w:eastAsia="en-US" w:bidi="ar-SA"/>
      </w:rPr>
    </w:lvl>
    <w:lvl w:ilvl="7" w:tplc="5798CFD0">
      <w:numFmt w:val="bullet"/>
      <w:lvlText w:val="•"/>
      <w:lvlJc w:val="left"/>
      <w:pPr>
        <w:ind w:left="6212" w:hanging="161"/>
      </w:pPr>
      <w:rPr>
        <w:rFonts w:hint="default"/>
        <w:lang w:val="pl-PL" w:eastAsia="en-US" w:bidi="ar-SA"/>
      </w:rPr>
    </w:lvl>
    <w:lvl w:ilvl="8" w:tplc="1142859E">
      <w:numFmt w:val="bullet"/>
      <w:lvlText w:val="•"/>
      <w:lvlJc w:val="left"/>
      <w:pPr>
        <w:ind w:left="7210" w:hanging="161"/>
      </w:pPr>
      <w:rPr>
        <w:rFonts w:hint="default"/>
        <w:lang w:val="pl-PL" w:eastAsia="en-US" w:bidi="ar-SA"/>
      </w:rPr>
    </w:lvl>
  </w:abstractNum>
  <w:abstractNum w:abstractNumId="1">
    <w:nsid w:val="61F413F8"/>
    <w:multiLevelType w:val="hybridMultilevel"/>
    <w:tmpl w:val="89449BBA"/>
    <w:lvl w:ilvl="0" w:tplc="9ACAA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464F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6909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2CD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EE851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B23C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B0C32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CA3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89039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E1F6D"/>
    <w:rsid w:val="00045180"/>
    <w:rsid w:val="000607E6"/>
    <w:rsid w:val="000622E8"/>
    <w:rsid w:val="00080131"/>
    <w:rsid w:val="00100926"/>
    <w:rsid w:val="00135DE7"/>
    <w:rsid w:val="002142D2"/>
    <w:rsid w:val="002422F6"/>
    <w:rsid w:val="002736B6"/>
    <w:rsid w:val="002A7ECF"/>
    <w:rsid w:val="002E519D"/>
    <w:rsid w:val="002F56EC"/>
    <w:rsid w:val="00344389"/>
    <w:rsid w:val="003457FD"/>
    <w:rsid w:val="00397350"/>
    <w:rsid w:val="003E1F6D"/>
    <w:rsid w:val="00456268"/>
    <w:rsid w:val="004725CF"/>
    <w:rsid w:val="004E5E03"/>
    <w:rsid w:val="00512CB1"/>
    <w:rsid w:val="005C0049"/>
    <w:rsid w:val="005D1430"/>
    <w:rsid w:val="006002B2"/>
    <w:rsid w:val="0071161E"/>
    <w:rsid w:val="007D7313"/>
    <w:rsid w:val="009E586B"/>
    <w:rsid w:val="00A14AC2"/>
    <w:rsid w:val="00A1731C"/>
    <w:rsid w:val="00A66825"/>
    <w:rsid w:val="00A74753"/>
    <w:rsid w:val="00AA53FA"/>
    <w:rsid w:val="00BD1E3F"/>
    <w:rsid w:val="00BF55E1"/>
    <w:rsid w:val="00C148C0"/>
    <w:rsid w:val="00C242BC"/>
    <w:rsid w:val="00C517A2"/>
    <w:rsid w:val="00C71605"/>
    <w:rsid w:val="00D7315C"/>
    <w:rsid w:val="00E13B7E"/>
    <w:rsid w:val="00E93BD7"/>
    <w:rsid w:val="00EA483E"/>
    <w:rsid w:val="00F75548"/>
    <w:rsid w:val="00FC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1F6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F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1F6D"/>
  </w:style>
  <w:style w:type="paragraph" w:customStyle="1" w:styleId="Nagwek11">
    <w:name w:val="Nagłówek 11"/>
    <w:basedOn w:val="Normalny"/>
    <w:uiPriority w:val="1"/>
    <w:qFormat/>
    <w:rsid w:val="003E1F6D"/>
    <w:pPr>
      <w:ind w:left="31" w:hanging="334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3E1F6D"/>
    <w:pPr>
      <w:spacing w:before="21"/>
      <w:ind w:left="1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3E1F6D"/>
    <w:pPr>
      <w:ind w:left="24" w:hanging="386"/>
    </w:pPr>
  </w:style>
  <w:style w:type="paragraph" w:customStyle="1" w:styleId="TableParagraph">
    <w:name w:val="Table Paragraph"/>
    <w:basedOn w:val="Normalny"/>
    <w:uiPriority w:val="1"/>
    <w:qFormat/>
    <w:rsid w:val="003E1F6D"/>
  </w:style>
  <w:style w:type="paragraph" w:styleId="Tekstdymka">
    <w:name w:val="Balloon Text"/>
    <w:basedOn w:val="Normalny"/>
    <w:link w:val="TekstdymkaZnak"/>
    <w:uiPriority w:val="99"/>
    <w:semiHidden/>
    <w:unhideWhenUsed/>
    <w:rsid w:val="00AA53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FA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716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5C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72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5CF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733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162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099">
          <w:marLeft w:val="32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endoskopia</dc:creator>
  <cp:lastModifiedBy>lom.krzyzewska</cp:lastModifiedBy>
  <cp:revision>2</cp:revision>
  <cp:lastPrinted>2026-06-02T12:26:00Z</cp:lastPrinted>
  <dcterms:created xsi:type="dcterms:W3CDTF">2026-06-02T12:26:00Z</dcterms:created>
  <dcterms:modified xsi:type="dcterms:W3CDTF">2026-06-02T12:26:00Z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2025-05-26T00:00:00Z</vt:filetime>
  </property>
</Properties>
</file>