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E7219D" w:rsidRPr="005A72E5" w:rsidRDefault="00EC59BF" w:rsidP="005A72E5">
      <w:pPr>
        <w:tabs>
          <w:tab w:val="left" w:pos="6645"/>
        </w:tabs>
        <w:jc w:val="right"/>
        <w:rPr>
          <w:rFonts w:ascii="Century Gothic" w:hAnsi="Century Gothic"/>
          <w:b/>
          <w:sz w:val="24"/>
          <w:szCs w:val="24"/>
        </w:rPr>
      </w:pPr>
      <w:r>
        <w:rPr>
          <w:rFonts w:ascii="Century Gothic" w:hAnsi="Century Gothic"/>
        </w:rPr>
        <w:tab/>
      </w:r>
      <w:r w:rsidR="0010050F">
        <w:rPr>
          <w:rFonts w:ascii="Century Gothic" w:hAnsi="Century Gothic"/>
          <w:b/>
          <w:sz w:val="24"/>
          <w:szCs w:val="24"/>
        </w:rPr>
        <w:t>PR4_F381_w3</w:t>
      </w:r>
    </w:p>
    <w:p w:rsidR="00E7219D" w:rsidRDefault="00735429" w:rsidP="00E7219D">
      <w:pPr>
        <w:rPr>
          <w:rFonts w:ascii="Century Gothic" w:hAnsi="Century Gothic"/>
          <w:sz w:val="24"/>
          <w:szCs w:val="24"/>
          <w:u w:val="single"/>
        </w:rPr>
      </w:pPr>
      <w:r w:rsidRPr="00735429">
        <w:rPr>
          <w:rFonts w:ascii="Century Gothic" w:hAnsi="Century Gothic"/>
          <w:sz w:val="24"/>
          <w:szCs w:val="24"/>
          <w:u w:val="single"/>
        </w:rPr>
        <w:t xml:space="preserve">Klinika </w:t>
      </w:r>
      <w:r w:rsidR="00FB640B">
        <w:rPr>
          <w:rFonts w:ascii="Century Gothic" w:hAnsi="Century Gothic"/>
          <w:sz w:val="24"/>
          <w:szCs w:val="24"/>
          <w:u w:val="single"/>
        </w:rPr>
        <w:t>Angiologii</w:t>
      </w:r>
    </w:p>
    <w:p w:rsidR="00735429" w:rsidRDefault="00735429" w:rsidP="00735429">
      <w:pPr>
        <w:jc w:val="center"/>
        <w:rPr>
          <w:rFonts w:ascii="Century Gothic" w:hAnsi="Century Gothic"/>
          <w:b/>
          <w:sz w:val="24"/>
          <w:szCs w:val="24"/>
        </w:rPr>
      </w:pPr>
      <w:r>
        <w:rPr>
          <w:rFonts w:ascii="Century Gothic" w:hAnsi="Century Gothic"/>
          <w:b/>
          <w:sz w:val="24"/>
          <w:szCs w:val="24"/>
        </w:rPr>
        <w:t>INFORMACJA DLA PACJENTA ORAZ FORMULARZ ŚWIADOMEJ ZGODY</w:t>
      </w:r>
      <w:r w:rsidR="00FB640B">
        <w:rPr>
          <w:rFonts w:ascii="Century Gothic" w:hAnsi="Century Gothic"/>
          <w:b/>
          <w:sz w:val="24"/>
          <w:szCs w:val="24"/>
        </w:rPr>
        <w:t xml:space="preserve"> NA</w:t>
      </w:r>
    </w:p>
    <w:p w:rsidR="00735429" w:rsidRPr="00AF2A10" w:rsidRDefault="00FB640B" w:rsidP="00735429">
      <w:pPr>
        <w:jc w:val="center"/>
        <w:rPr>
          <w:rFonts w:ascii="Century Gothic" w:hAnsi="Century Gothic"/>
          <w:b/>
          <w:sz w:val="24"/>
          <w:szCs w:val="24"/>
        </w:rPr>
      </w:pPr>
      <w:r>
        <w:rPr>
          <w:rFonts w:ascii="Century Gothic" w:hAnsi="Century Gothic"/>
          <w:b/>
          <w:sz w:val="24"/>
          <w:szCs w:val="24"/>
        </w:rPr>
        <w:t>ZABIEG WEWNĄTRZNACZYNIOWY NA TĘTNICACH KONCZYN DOLNYCH LUB GÓRNYCH*</w:t>
      </w: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A40ECA">
        <w:rPr>
          <w:rFonts w:ascii="Century Gothic" w:hAnsi="Century Gothic"/>
          <w:sz w:val="24"/>
          <w:szCs w:val="24"/>
        </w:rPr>
        <w:t>…………………………………………………</w:t>
      </w: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A40ECA">
        <w:rPr>
          <w:rFonts w:ascii="Century Gothic" w:hAnsi="Century Gothic"/>
          <w:sz w:val="24"/>
          <w:szCs w:val="24"/>
        </w:rPr>
        <w:t>………………………………………………………………</w:t>
      </w:r>
    </w:p>
    <w:p w:rsidR="00735429" w:rsidRPr="00AF2A10" w:rsidRDefault="00735429" w:rsidP="00735429">
      <w:pPr>
        <w:ind w:left="-709"/>
        <w:jc w:val="both"/>
        <w:rPr>
          <w:rFonts w:ascii="Century Gothic" w:hAnsi="Century Gothic"/>
          <w:b/>
          <w:sz w:val="24"/>
          <w:szCs w:val="24"/>
        </w:rPr>
      </w:pPr>
      <w:r w:rsidRPr="00AF2A10">
        <w:rPr>
          <w:rFonts w:ascii="Century Gothic" w:hAnsi="Century Gothic"/>
          <w:b/>
          <w:sz w:val="24"/>
          <w:szCs w:val="24"/>
        </w:rPr>
        <w:t xml:space="preserve">Nr ks. gł.: </w:t>
      </w:r>
      <w:r w:rsidR="00A40ECA">
        <w:rPr>
          <w:rFonts w:ascii="Century Gothic" w:hAnsi="Century Gothic"/>
          <w:sz w:val="24"/>
          <w:szCs w:val="24"/>
        </w:rPr>
        <w:t>…………………………………………………………..</w:t>
      </w:r>
    </w:p>
    <w:p w:rsidR="00FB640B" w:rsidRPr="00FB640B" w:rsidRDefault="00FB640B" w:rsidP="00FB640B">
      <w:pPr>
        <w:ind w:left="-700"/>
        <w:jc w:val="both"/>
        <w:rPr>
          <w:rFonts w:ascii="Century Gothic" w:hAnsi="Century Gothic"/>
          <w:sz w:val="24"/>
          <w:szCs w:val="24"/>
        </w:rPr>
      </w:pPr>
      <w:r w:rsidRPr="00FB640B">
        <w:rPr>
          <w:rFonts w:ascii="Century Gothic" w:hAnsi="Century Gothic"/>
          <w:b/>
          <w:sz w:val="24"/>
          <w:szCs w:val="24"/>
        </w:rPr>
        <w:t>1. INFORMACJA O ROZPOZNANIU</w:t>
      </w:r>
    </w:p>
    <w:p w:rsidR="00FB640B" w:rsidRPr="00FB640B" w:rsidRDefault="00FB640B" w:rsidP="00FB640B">
      <w:pPr>
        <w:ind w:left="-700"/>
        <w:jc w:val="both"/>
        <w:rPr>
          <w:rFonts w:ascii="Century Gothic" w:hAnsi="Century Gothic"/>
          <w:strike/>
          <w:sz w:val="24"/>
          <w:szCs w:val="24"/>
        </w:rPr>
      </w:pPr>
      <w:r w:rsidRPr="00FB640B">
        <w:rPr>
          <w:rFonts w:ascii="Century Gothic" w:hAnsi="Century Gothic"/>
          <w:sz w:val="24"/>
          <w:szCs w:val="24"/>
        </w:rPr>
        <w:t>Na podstawie przeprowadzonych dotychczas badań rozpoznano u Pana/Pani:</w:t>
      </w:r>
    </w:p>
    <w:p w:rsidR="00FB640B" w:rsidRPr="00FB640B" w:rsidRDefault="00FB640B" w:rsidP="00FB640B">
      <w:pPr>
        <w:ind w:left="-709"/>
        <w:jc w:val="both"/>
        <w:rPr>
          <w:rFonts w:ascii="Century Gothic" w:hAnsi="Century Gothic"/>
          <w:bCs/>
          <w:i/>
          <w:iCs/>
          <w:sz w:val="24"/>
          <w:szCs w:val="24"/>
        </w:rPr>
      </w:pPr>
    </w:p>
    <w:p w:rsidR="00FB640B" w:rsidRPr="00FB640B" w:rsidRDefault="00FB640B" w:rsidP="00FB640B">
      <w:pPr>
        <w:ind w:left="-709"/>
        <w:jc w:val="both"/>
        <w:rPr>
          <w:rFonts w:ascii="Century Gothic" w:hAnsi="Century Gothic"/>
          <w:bCs/>
          <w:i/>
          <w:iCs/>
          <w:sz w:val="24"/>
          <w:szCs w:val="24"/>
        </w:rPr>
      </w:pPr>
      <w:r w:rsidRPr="00FB640B">
        <w:rPr>
          <w:rFonts w:ascii="Century Gothic" w:hAnsi="Century Gothic"/>
          <w:bCs/>
          <w:i/>
          <w:iCs/>
          <w:sz w:val="24"/>
          <w:szCs w:val="24"/>
        </w:rPr>
        <w:t xml:space="preserve">Ostre niedokrwienie kończyn dolnych/ górnych </w:t>
      </w:r>
    </w:p>
    <w:p w:rsidR="00FB640B" w:rsidRPr="00FB640B" w:rsidRDefault="00FB640B" w:rsidP="00FB640B">
      <w:pPr>
        <w:ind w:left="-709"/>
        <w:jc w:val="both"/>
        <w:rPr>
          <w:rFonts w:ascii="Century Gothic" w:hAnsi="Century Gothic"/>
          <w:sz w:val="24"/>
          <w:szCs w:val="24"/>
        </w:rPr>
      </w:pPr>
      <w:r w:rsidRPr="00FB640B">
        <w:rPr>
          <w:rFonts w:ascii="Century Gothic" w:hAnsi="Century Gothic"/>
          <w:bCs/>
          <w:i/>
          <w:iCs/>
          <w:sz w:val="24"/>
          <w:szCs w:val="24"/>
        </w:rPr>
        <w:t>Przewlekłe niedokrwienie kończyn dolnych pod postacią chromania przestankowego / przewlekłego niedokrwienia zagrażającego utratą kończyny (tzw. niedokrwienia krytycznego)) dolnej lub górnej* - niepotrzebne skreślić</w:t>
      </w:r>
    </w:p>
    <w:p w:rsidR="00735429" w:rsidRPr="00926927" w:rsidRDefault="00735429" w:rsidP="00735429">
      <w:pPr>
        <w:ind w:left="-700"/>
        <w:jc w:val="both"/>
        <w:rPr>
          <w:rFonts w:ascii="Century Gothic" w:hAnsi="Century Gothic"/>
        </w:rPr>
      </w:pPr>
    </w:p>
    <w:p w:rsidR="00FB640B" w:rsidRDefault="00FB640B" w:rsidP="00FB640B">
      <w:pPr>
        <w:ind w:left="-700"/>
        <w:jc w:val="both"/>
        <w:rPr>
          <w:rFonts w:ascii="Century Gothic" w:hAnsi="Century Gothic"/>
          <w:sz w:val="24"/>
          <w:szCs w:val="24"/>
        </w:rPr>
      </w:pPr>
      <w:r>
        <w:rPr>
          <w:rFonts w:ascii="Century Gothic" w:hAnsi="Century Gothic"/>
          <w:b/>
          <w:sz w:val="24"/>
          <w:szCs w:val="24"/>
        </w:rPr>
        <w:t>2</w:t>
      </w:r>
      <w:r w:rsidR="00735429" w:rsidRPr="00AF2A10">
        <w:rPr>
          <w:rFonts w:ascii="Century Gothic" w:hAnsi="Century Gothic"/>
          <w:b/>
          <w:sz w:val="24"/>
          <w:szCs w:val="24"/>
        </w:rPr>
        <w:t>. PROPONOWANY SPOSÓB LECZENIA</w:t>
      </w:r>
    </w:p>
    <w:p w:rsidR="00FB640B" w:rsidRPr="00FB640B" w:rsidRDefault="00FB640B" w:rsidP="00FB640B">
      <w:pPr>
        <w:ind w:left="-700"/>
        <w:jc w:val="both"/>
        <w:rPr>
          <w:rFonts w:ascii="Century Gothic" w:hAnsi="Century Gothic"/>
          <w:sz w:val="24"/>
          <w:szCs w:val="24"/>
        </w:rPr>
      </w:pPr>
      <w:r w:rsidRPr="00FB640B">
        <w:rPr>
          <w:rFonts w:ascii="Century Gothic" w:hAnsi="Century Gothic"/>
          <w:sz w:val="24"/>
          <w:szCs w:val="24"/>
        </w:rPr>
        <w:t>Leczenie wewnątrznaczyniowe (</w:t>
      </w:r>
      <w:proofErr w:type="spellStart"/>
      <w:r w:rsidRPr="00FB640B">
        <w:rPr>
          <w:rFonts w:ascii="Century Gothic" w:hAnsi="Century Gothic"/>
          <w:sz w:val="24"/>
          <w:szCs w:val="24"/>
        </w:rPr>
        <w:t>przezskórne</w:t>
      </w:r>
      <w:proofErr w:type="spellEnd"/>
      <w:r w:rsidRPr="00FB640B">
        <w:rPr>
          <w:rFonts w:ascii="Century Gothic" w:hAnsi="Century Gothic"/>
          <w:sz w:val="24"/>
          <w:szCs w:val="24"/>
        </w:rPr>
        <w:t>) niedokrwienia kończyn dolnych lub górnych polega na udrożnieniu/ poszerzeniu światła naczynia drogą jego nakłucia przez skórę cienką igłą. Leczenie to stosuje się zarówno u pacjenta z ostrym niedokrwieniem kończyn (przeważnie dolnych, ale także górnych), jak i u pacjenta z objawami niedokrwienia kończyn trwającymi dłużej (&gt; 14 dni). W przypadku ostrego niedokrwienia tętniczego zabieg polega najpierw na usunięciu skrzepu krwi za pomocą technik mechanicznych (</w:t>
      </w:r>
      <w:proofErr w:type="spellStart"/>
      <w:r w:rsidRPr="00FB640B">
        <w:rPr>
          <w:rFonts w:ascii="Century Gothic" w:hAnsi="Century Gothic"/>
          <w:sz w:val="24"/>
          <w:szCs w:val="24"/>
        </w:rPr>
        <w:t>trombektomia</w:t>
      </w:r>
      <w:proofErr w:type="spellEnd"/>
      <w:r w:rsidRPr="00FB640B">
        <w:rPr>
          <w:rFonts w:ascii="Century Gothic" w:hAnsi="Century Gothic"/>
          <w:sz w:val="24"/>
          <w:szCs w:val="24"/>
        </w:rPr>
        <w:t xml:space="preserve"> poprzez odessanie, rozkawałkowanie i odprowadzenie na zewnątrz), rozcieńczających skrzeplinę (</w:t>
      </w:r>
      <w:proofErr w:type="spellStart"/>
      <w:r w:rsidRPr="00FB640B">
        <w:rPr>
          <w:rFonts w:ascii="Century Gothic" w:hAnsi="Century Gothic"/>
          <w:sz w:val="24"/>
          <w:szCs w:val="24"/>
        </w:rPr>
        <w:t>hemodylucja</w:t>
      </w:r>
      <w:proofErr w:type="spellEnd"/>
      <w:r w:rsidRPr="00FB640B">
        <w:rPr>
          <w:rFonts w:ascii="Century Gothic" w:hAnsi="Century Gothic"/>
          <w:sz w:val="24"/>
          <w:szCs w:val="24"/>
        </w:rPr>
        <w:t>) lub ją rozpuszczających (</w:t>
      </w:r>
      <w:proofErr w:type="spellStart"/>
      <w:r w:rsidRPr="00FB640B">
        <w:rPr>
          <w:rFonts w:ascii="Century Gothic" w:hAnsi="Century Gothic"/>
          <w:sz w:val="24"/>
          <w:szCs w:val="24"/>
        </w:rPr>
        <w:t>tromboliza</w:t>
      </w:r>
      <w:proofErr w:type="spellEnd"/>
      <w:r w:rsidRPr="00FB640B">
        <w:rPr>
          <w:rFonts w:ascii="Century Gothic" w:hAnsi="Century Gothic"/>
          <w:sz w:val="24"/>
          <w:szCs w:val="24"/>
        </w:rPr>
        <w:t xml:space="preserve"> lokalna). Czasem metody te wymagają łączenia, a zabieg podawania leku </w:t>
      </w:r>
      <w:proofErr w:type="spellStart"/>
      <w:r w:rsidRPr="00FB640B">
        <w:rPr>
          <w:rFonts w:ascii="Century Gothic" w:hAnsi="Century Gothic"/>
          <w:sz w:val="24"/>
          <w:szCs w:val="24"/>
        </w:rPr>
        <w:t>trombolitycznego</w:t>
      </w:r>
      <w:proofErr w:type="spellEnd"/>
      <w:r w:rsidRPr="00FB640B">
        <w:rPr>
          <w:rFonts w:ascii="Century Gothic" w:hAnsi="Century Gothic"/>
          <w:sz w:val="24"/>
          <w:szCs w:val="24"/>
        </w:rPr>
        <w:t xml:space="preserve"> rozpuszczającego zakrzep może się przedłużyć i trwać 12-48h. Po udrożnieniu światła naczynia często potrzebny jest drugi etap zabiegu związany z zabezpieczeniem jego zwężenia (przeważnie </w:t>
      </w:r>
      <w:proofErr w:type="spellStart"/>
      <w:r w:rsidRPr="00FB640B">
        <w:rPr>
          <w:rFonts w:ascii="Century Gothic" w:hAnsi="Century Gothic"/>
          <w:sz w:val="24"/>
          <w:szCs w:val="24"/>
        </w:rPr>
        <w:t>stentowanie</w:t>
      </w:r>
      <w:proofErr w:type="spellEnd"/>
      <w:r w:rsidRPr="00FB640B">
        <w:rPr>
          <w:rFonts w:ascii="Century Gothic" w:hAnsi="Century Gothic"/>
          <w:sz w:val="24"/>
          <w:szCs w:val="24"/>
        </w:rPr>
        <w:t xml:space="preserve">). Tylko czasem wszystkie procedury można wykonać podczas jednej interwencji. Ostre niedokrwienie kończyny jest zawsze stanem </w:t>
      </w:r>
      <w:r w:rsidRPr="00FB640B">
        <w:rPr>
          <w:rFonts w:ascii="Century Gothic" w:hAnsi="Century Gothic"/>
          <w:sz w:val="24"/>
          <w:szCs w:val="24"/>
        </w:rPr>
        <w:lastRenderedPageBreak/>
        <w:t xml:space="preserve">zagrożenia jej utratą, ale nie zawsze interwencja musi być przeprowadzona w dniu przyjęcia. Nie można wykluczyć, że pacjent z ostrym niedokrwieniem będzie wymagał amputacji kończyny lub innej interwencji chirurgicznej, ale w tym przypadku potrzebna będzie Pana/ Pani osobna zgoda. W przypadku przewlekłego niedokrwienia kończyn (objawy &gt;14 dni) pacjenta kwalifikuje się do zabiegu wewnątrznaczyniowego na kończynach dolnych lub górnych wtedy gdy pozwala na to stan kończyny, zaawansowanie chorób współistniejących oraz warunki anatomiczne unaczynienia kończyn. U pacjenta z niedokrwieniem zagrażającym utratą kończyny celem zabiegu jest poprawa dopływu krwi do kończyny i uniknięcia amputacji kończyny, zmniejszenia jej zakresu, ustąpienia bólu i wygojenia ran. Natomiast u pacjenta z chromaniem przestankowym zabieg wykonuje się, gdy wyczerpano już możliwości leczenia farmakologicznego, kontroli czynników ryzyka (m.in. rzucenia palenia tytoniu) i rehabilitacji (trening marszowy, dedykowane ćwiczenia) w celu wydłużenia dystansu marszu bez bólu i poprawy jakości życia. Zabieg wewnątrznaczyniowy można wykonać w naczyniu do tej pory niepoddawanym zabiegowi albo z powodu nawrotu zwężenia, np. w </w:t>
      </w:r>
      <w:proofErr w:type="spellStart"/>
      <w:r w:rsidRPr="00FB640B">
        <w:rPr>
          <w:rFonts w:ascii="Century Gothic" w:hAnsi="Century Gothic"/>
          <w:sz w:val="24"/>
          <w:szCs w:val="24"/>
        </w:rPr>
        <w:t>stencie</w:t>
      </w:r>
      <w:proofErr w:type="spellEnd"/>
      <w:r w:rsidRPr="00FB640B">
        <w:rPr>
          <w:rFonts w:ascii="Century Gothic" w:hAnsi="Century Gothic"/>
          <w:sz w:val="24"/>
          <w:szCs w:val="24"/>
        </w:rPr>
        <w:t>. Wskazaniem do jego wykonania może być także rozpoznane wcześniej poszerzenie światła naczynia (tzw. tętniak).</w:t>
      </w:r>
    </w:p>
    <w:p w:rsidR="00735429" w:rsidRPr="00AF2A10" w:rsidRDefault="00735429" w:rsidP="00FB640B">
      <w:pPr>
        <w:jc w:val="both"/>
        <w:rPr>
          <w:rFonts w:ascii="Century Gothic" w:hAnsi="Century Gothic"/>
          <w:bCs/>
          <w:sz w:val="24"/>
          <w:szCs w:val="24"/>
        </w:rPr>
      </w:pPr>
    </w:p>
    <w:p w:rsidR="00FB640B" w:rsidRDefault="00735429" w:rsidP="00FB640B">
      <w:pPr>
        <w:ind w:left="-700"/>
        <w:jc w:val="both"/>
        <w:rPr>
          <w:rFonts w:ascii="Century Gothic" w:hAnsi="Century Gothic"/>
          <w:sz w:val="24"/>
          <w:szCs w:val="24"/>
        </w:rPr>
      </w:pPr>
      <w:r w:rsidRPr="00AF2A10">
        <w:rPr>
          <w:rFonts w:ascii="Century Gothic" w:hAnsi="Century Gothic"/>
          <w:b/>
          <w:sz w:val="24"/>
          <w:szCs w:val="24"/>
          <w:u w:val="single"/>
        </w:rPr>
        <w:t>OPIS PROCEDURY ZABIEGOWEJ:</w:t>
      </w:r>
    </w:p>
    <w:p w:rsidR="00FB640B" w:rsidRPr="00FB640B" w:rsidRDefault="00FB640B" w:rsidP="00FB640B">
      <w:pPr>
        <w:ind w:left="-700"/>
        <w:rPr>
          <w:rFonts w:ascii="Century Gothic" w:hAnsi="Century Gothic"/>
          <w:sz w:val="24"/>
          <w:szCs w:val="24"/>
        </w:rPr>
      </w:pPr>
      <w:r w:rsidRPr="00FB640B">
        <w:rPr>
          <w:rFonts w:ascii="Century Gothic" w:hAnsi="Century Gothic"/>
          <w:sz w:val="24"/>
          <w:szCs w:val="24"/>
        </w:rPr>
        <w:t xml:space="preserve">Zabieg wewnątrznaczyniowy na tętnicach kończyn dolnych lub górnych wymaga zwykle znieczulenia miejscowego w miejscu dostępu naczyniowego. Zabieg jest przeprowadzany w warunkach sali operacyjnej lub pracowni radiologii zabiegowej z zachowaniem zasad aseptyki. Pacjent jest ułożony na stole operacyjnym w odpowiedniej pozycji, a obszar dostępu do naczynia (zwykle pachwina- tętnica udowa, ale także okolica pachy lub dołu łokciowego- tętnica ramienna lub nadgarstka- tętnica promieniowa) jest dezynfekowany i obłożony sterylnym, jednorazowym materiałem z okienkiem w miejscu dostępu do Pana/ Pani układu naczyniowego. Następnie operator, przeważnie pod kontrolą USG, nakłuwa tętnicę, wprowadza prowadnik, a następnie </w:t>
      </w:r>
      <w:proofErr w:type="spellStart"/>
      <w:r w:rsidRPr="00FB640B">
        <w:rPr>
          <w:rFonts w:ascii="Century Gothic" w:hAnsi="Century Gothic"/>
          <w:sz w:val="24"/>
          <w:szCs w:val="24"/>
        </w:rPr>
        <w:t>introduktor</w:t>
      </w:r>
      <w:proofErr w:type="spellEnd"/>
      <w:r w:rsidRPr="00FB640B">
        <w:rPr>
          <w:rFonts w:ascii="Century Gothic" w:hAnsi="Century Gothic"/>
          <w:sz w:val="24"/>
          <w:szCs w:val="24"/>
        </w:rPr>
        <w:t xml:space="preserve"> naczyniowy (tzw. koszulkę naczyniową). Może to być okolica odległa od kończyny leczonej (np. przeciwległa pachwina, okolica dołu pachowego lub nadgarstka). Czasem potrzebny niestandardowy dostęp naczyniowy albo jednocześnie 2, a nawet 3 dostępy do układu tętniczego, np. poprzez nakłucie tętnicy na udzie (poniżej pachwiny), pod kolanem, w okolicy stawu skokowego (dostęp obwodowy, wsteczny). Na początku zabiegu wykonywana jest angiografia, która jest badaniem rentgenowskim naczyń krwionośnych z wykorzystaniem środków kontrastowych (tradycyjne, jodowe lub dwutlenek węgla) umożliwiających obrazowanie przepływu krwi w Pana/ Pani naczyniach krwionośnych. Podczas podawania środka kontrastowego poczujecie </w:t>
      </w:r>
      <w:r w:rsidRPr="00FB640B">
        <w:rPr>
          <w:rFonts w:ascii="Century Gothic" w:hAnsi="Century Gothic"/>
          <w:sz w:val="24"/>
          <w:szCs w:val="24"/>
        </w:rPr>
        <w:lastRenderedPageBreak/>
        <w:t xml:space="preserve">Państwo rozprzestrzeniające się ciepło lub wrażenie rozpierania w badanej okolicy (dwutlenek węgla). Czasem badanie angiograficzne jest uzupełniane ultrasonografią wewnątrznaczyniową (IVUS) lub USG przez powierzchnię skóry (EVUS). Po ocenie naczyń, operator przeprowadza prowadnik (drucik) przez zmienione chorobowo naczynia, a następnie po prowadniku wprowadza specjalne narzędzia, przy pomocy których przywracany jest przepływ krwi. Zwykle są to cewniki balonowe, które poprzez wypełnianie płynem pod ciśnieniem powodują poszerzenie światła naczynia. Dodatkowo czasem wymagane jest: </w:t>
      </w:r>
    </w:p>
    <w:p w:rsidR="00FB640B" w:rsidRDefault="00FB640B" w:rsidP="00FB640B">
      <w:pPr>
        <w:pStyle w:val="Akapitzlist"/>
        <w:numPr>
          <w:ilvl w:val="0"/>
          <w:numId w:val="1"/>
        </w:numPr>
        <w:jc w:val="both"/>
        <w:rPr>
          <w:rFonts w:ascii="Century Gothic" w:hAnsi="Century Gothic"/>
          <w:sz w:val="24"/>
          <w:szCs w:val="24"/>
        </w:rPr>
      </w:pPr>
      <w:r w:rsidRPr="00FB640B">
        <w:rPr>
          <w:rFonts w:ascii="Century Gothic" w:hAnsi="Century Gothic"/>
          <w:sz w:val="24"/>
          <w:szCs w:val="24"/>
        </w:rPr>
        <w:t xml:space="preserve">wszczepienie </w:t>
      </w:r>
      <w:proofErr w:type="spellStart"/>
      <w:r w:rsidRPr="00FB640B">
        <w:rPr>
          <w:rFonts w:ascii="Century Gothic" w:hAnsi="Century Gothic"/>
          <w:sz w:val="24"/>
          <w:szCs w:val="24"/>
        </w:rPr>
        <w:t>stentu</w:t>
      </w:r>
      <w:proofErr w:type="spellEnd"/>
      <w:r w:rsidRPr="00FB640B">
        <w:rPr>
          <w:rFonts w:ascii="Century Gothic" w:hAnsi="Century Gothic"/>
          <w:sz w:val="24"/>
          <w:szCs w:val="24"/>
        </w:rPr>
        <w:t xml:space="preserve"> (sprężynki ze specjalnych stopów metali lub substancji rozpuszczających się z czasem- </w:t>
      </w:r>
      <w:proofErr w:type="spellStart"/>
      <w:r w:rsidRPr="00FB640B">
        <w:rPr>
          <w:rFonts w:ascii="Century Gothic" w:hAnsi="Century Gothic"/>
          <w:sz w:val="24"/>
          <w:szCs w:val="24"/>
        </w:rPr>
        <w:t>biodegradowalnych</w:t>
      </w:r>
      <w:proofErr w:type="spellEnd"/>
      <w:r w:rsidRPr="00FB640B">
        <w:rPr>
          <w:rFonts w:ascii="Century Gothic" w:hAnsi="Century Gothic"/>
          <w:sz w:val="24"/>
          <w:szCs w:val="24"/>
        </w:rPr>
        <w:t xml:space="preserve">) mające na celu zapobieżenie zapadaniu się ściany naczynia; w pewnych sytuacjach, szczególnie przy kolejnych interwencjach, mogą być wykorzystywane technologie uwalniające lek </w:t>
      </w:r>
      <w:proofErr w:type="spellStart"/>
      <w:r w:rsidRPr="00FB640B">
        <w:rPr>
          <w:rFonts w:ascii="Century Gothic" w:hAnsi="Century Gothic"/>
          <w:sz w:val="24"/>
          <w:szCs w:val="24"/>
        </w:rPr>
        <w:t>antyproliferacyjny</w:t>
      </w:r>
      <w:proofErr w:type="spellEnd"/>
      <w:r w:rsidRPr="00FB640B">
        <w:rPr>
          <w:rFonts w:ascii="Century Gothic" w:hAnsi="Century Gothic"/>
          <w:sz w:val="24"/>
          <w:szCs w:val="24"/>
        </w:rPr>
        <w:t xml:space="preserve"> (</w:t>
      </w:r>
      <w:proofErr w:type="spellStart"/>
      <w:r w:rsidRPr="00FB640B">
        <w:rPr>
          <w:rFonts w:ascii="Century Gothic" w:hAnsi="Century Gothic"/>
          <w:sz w:val="24"/>
          <w:szCs w:val="24"/>
        </w:rPr>
        <w:t>balon-DEB</w:t>
      </w:r>
      <w:proofErr w:type="spellEnd"/>
      <w:r w:rsidRPr="00FB640B">
        <w:rPr>
          <w:rFonts w:ascii="Century Gothic" w:hAnsi="Century Gothic"/>
          <w:sz w:val="24"/>
          <w:szCs w:val="24"/>
        </w:rPr>
        <w:t xml:space="preserve">, DCB i/lub </w:t>
      </w:r>
      <w:proofErr w:type="spellStart"/>
      <w:r w:rsidRPr="00FB640B">
        <w:rPr>
          <w:rFonts w:ascii="Century Gothic" w:hAnsi="Century Gothic"/>
          <w:sz w:val="24"/>
          <w:szCs w:val="24"/>
        </w:rPr>
        <w:t>stent-DES</w:t>
      </w:r>
      <w:proofErr w:type="spellEnd"/>
      <w:r w:rsidRPr="00FB640B">
        <w:rPr>
          <w:rFonts w:ascii="Century Gothic" w:hAnsi="Century Gothic"/>
          <w:sz w:val="24"/>
          <w:szCs w:val="24"/>
        </w:rPr>
        <w:t xml:space="preserve">), który spowalnia wrastanie komórek ściany naczynia w </w:t>
      </w:r>
      <w:proofErr w:type="spellStart"/>
      <w:r w:rsidRPr="00FB640B">
        <w:rPr>
          <w:rFonts w:ascii="Century Gothic" w:hAnsi="Century Gothic"/>
          <w:sz w:val="24"/>
          <w:szCs w:val="24"/>
        </w:rPr>
        <w:t>stent</w:t>
      </w:r>
      <w:proofErr w:type="spellEnd"/>
      <w:r w:rsidRPr="00FB640B">
        <w:rPr>
          <w:rFonts w:ascii="Century Gothic" w:hAnsi="Century Gothic"/>
          <w:sz w:val="24"/>
          <w:szCs w:val="24"/>
        </w:rPr>
        <w:t xml:space="preserve"> (tzw. </w:t>
      </w:r>
      <w:proofErr w:type="spellStart"/>
      <w:r w:rsidRPr="00FB640B">
        <w:rPr>
          <w:rFonts w:ascii="Century Gothic" w:hAnsi="Century Gothic"/>
          <w:sz w:val="24"/>
          <w:szCs w:val="24"/>
        </w:rPr>
        <w:t>restenozę</w:t>
      </w:r>
      <w:proofErr w:type="spellEnd"/>
      <w:r w:rsidRPr="00FB640B">
        <w:rPr>
          <w:rFonts w:ascii="Century Gothic" w:hAnsi="Century Gothic"/>
          <w:sz w:val="24"/>
          <w:szCs w:val="24"/>
        </w:rPr>
        <w:t xml:space="preserve"> w </w:t>
      </w:r>
      <w:proofErr w:type="spellStart"/>
      <w:r w:rsidRPr="00FB640B">
        <w:rPr>
          <w:rFonts w:ascii="Century Gothic" w:hAnsi="Century Gothic"/>
          <w:sz w:val="24"/>
          <w:szCs w:val="24"/>
        </w:rPr>
        <w:t>stencie</w:t>
      </w:r>
      <w:proofErr w:type="spellEnd"/>
      <w:r w:rsidRPr="00FB640B">
        <w:rPr>
          <w:rFonts w:ascii="Century Gothic" w:hAnsi="Century Gothic"/>
          <w:sz w:val="24"/>
          <w:szCs w:val="24"/>
        </w:rPr>
        <w:t>).</w:t>
      </w:r>
    </w:p>
    <w:p w:rsidR="00FB640B" w:rsidRPr="00FB640B" w:rsidRDefault="00FB640B" w:rsidP="00FB640B">
      <w:pPr>
        <w:pStyle w:val="Akapitzlist"/>
        <w:ind w:left="770"/>
        <w:jc w:val="both"/>
        <w:rPr>
          <w:rFonts w:ascii="Century Gothic" w:hAnsi="Century Gothic"/>
          <w:sz w:val="24"/>
          <w:szCs w:val="24"/>
        </w:rPr>
      </w:pPr>
    </w:p>
    <w:p w:rsidR="00FB640B" w:rsidRPr="00FB640B" w:rsidRDefault="00FB640B" w:rsidP="00FB640B">
      <w:pPr>
        <w:pStyle w:val="Akapitzlist"/>
        <w:numPr>
          <w:ilvl w:val="0"/>
          <w:numId w:val="1"/>
        </w:numPr>
        <w:jc w:val="both"/>
        <w:rPr>
          <w:rFonts w:ascii="Century Gothic" w:hAnsi="Century Gothic"/>
          <w:sz w:val="24"/>
          <w:szCs w:val="24"/>
        </w:rPr>
      </w:pPr>
      <w:r w:rsidRPr="00FB640B">
        <w:rPr>
          <w:rFonts w:ascii="Century Gothic" w:hAnsi="Century Gothic"/>
          <w:sz w:val="24"/>
          <w:szCs w:val="24"/>
        </w:rPr>
        <w:t>usunięcie/rozpuszczenie skrzepliny (</w:t>
      </w:r>
      <w:proofErr w:type="spellStart"/>
      <w:r w:rsidRPr="00FB640B">
        <w:rPr>
          <w:rFonts w:ascii="Century Gothic" w:hAnsi="Century Gothic"/>
          <w:sz w:val="24"/>
          <w:szCs w:val="24"/>
        </w:rPr>
        <w:t>trombektomia</w:t>
      </w:r>
      <w:proofErr w:type="spellEnd"/>
      <w:r w:rsidRPr="00FB640B">
        <w:rPr>
          <w:rFonts w:ascii="Century Gothic" w:hAnsi="Century Gothic"/>
          <w:sz w:val="24"/>
          <w:szCs w:val="24"/>
        </w:rPr>
        <w:t xml:space="preserve">, </w:t>
      </w:r>
      <w:proofErr w:type="spellStart"/>
      <w:r w:rsidRPr="00FB640B">
        <w:rPr>
          <w:rFonts w:ascii="Century Gothic" w:hAnsi="Century Gothic"/>
          <w:sz w:val="24"/>
          <w:szCs w:val="24"/>
        </w:rPr>
        <w:t>tromboliza</w:t>
      </w:r>
      <w:proofErr w:type="spellEnd"/>
      <w:r w:rsidRPr="00FB640B">
        <w:rPr>
          <w:rFonts w:ascii="Century Gothic" w:hAnsi="Century Gothic"/>
          <w:sz w:val="24"/>
          <w:szCs w:val="24"/>
        </w:rPr>
        <w:t>) lub blaszki miażdżycowej (</w:t>
      </w:r>
      <w:proofErr w:type="spellStart"/>
      <w:r w:rsidRPr="00FB640B">
        <w:rPr>
          <w:rFonts w:ascii="Century Gothic" w:hAnsi="Century Gothic"/>
          <w:sz w:val="24"/>
          <w:szCs w:val="24"/>
        </w:rPr>
        <w:t>aterektomia</w:t>
      </w:r>
      <w:proofErr w:type="spellEnd"/>
      <w:r w:rsidRPr="00FB640B">
        <w:rPr>
          <w:rFonts w:ascii="Century Gothic" w:hAnsi="Century Gothic"/>
          <w:sz w:val="24"/>
          <w:szCs w:val="24"/>
        </w:rPr>
        <w:t xml:space="preserve"> rotacyjna, orbitalna, ssąca, kierunkowa lub laserowa) wypełniającej światło naczynia, czasem związane z koniecznością założenia specjalnego filtru (koszyczka) do światła naczynia za leczoną zmianą lub cewnika doprowadzającego lek rozpuszczający skrzepliny (</w:t>
      </w:r>
      <w:proofErr w:type="spellStart"/>
      <w:r w:rsidRPr="00FB640B">
        <w:rPr>
          <w:rFonts w:ascii="Century Gothic" w:hAnsi="Century Gothic"/>
          <w:sz w:val="24"/>
          <w:szCs w:val="24"/>
        </w:rPr>
        <w:t>tromboliza</w:t>
      </w:r>
      <w:proofErr w:type="spellEnd"/>
      <w:r w:rsidRPr="00FB640B">
        <w:rPr>
          <w:rFonts w:ascii="Century Gothic" w:hAnsi="Century Gothic"/>
          <w:sz w:val="24"/>
          <w:szCs w:val="24"/>
        </w:rPr>
        <w:t>). Procedura ta może trwać 12-24 godzin i jest związana zarówno z koniecznością dłuższego leżenia, ryzykiem zakażenia cewnika oraz wystąpienia powikłań krwotocznych, czasem zagrażających życiu i zdrowiu (krwawienie do mózgu, oka, krwawienie do jam ciała, krwiak uciskający na nerw [pachwina] lub sploty nerwowe, np. w okolicy tętnicy ramiennej/ pachowej), związanych z działaniem leków rozpuszczających skrzep (</w:t>
      </w:r>
      <w:proofErr w:type="spellStart"/>
      <w:r w:rsidRPr="00FB640B">
        <w:rPr>
          <w:rFonts w:ascii="Century Gothic" w:hAnsi="Century Gothic"/>
          <w:sz w:val="24"/>
          <w:szCs w:val="24"/>
        </w:rPr>
        <w:t>trombolityków</w:t>
      </w:r>
      <w:proofErr w:type="spellEnd"/>
      <w:r w:rsidRPr="00FB640B">
        <w:rPr>
          <w:rFonts w:ascii="Century Gothic" w:hAnsi="Century Gothic"/>
          <w:sz w:val="24"/>
          <w:szCs w:val="24"/>
        </w:rPr>
        <w:t xml:space="preserve">), jak i leków przeciwzakrzepowych (heparyna, leki przeciwpłytkowe). Po zabiegu </w:t>
      </w:r>
      <w:proofErr w:type="spellStart"/>
      <w:r w:rsidRPr="00FB640B">
        <w:rPr>
          <w:rFonts w:ascii="Century Gothic" w:hAnsi="Century Gothic"/>
          <w:sz w:val="24"/>
          <w:szCs w:val="24"/>
        </w:rPr>
        <w:t>trombolizy</w:t>
      </w:r>
      <w:proofErr w:type="spellEnd"/>
      <w:r w:rsidRPr="00FB640B">
        <w:rPr>
          <w:rFonts w:ascii="Century Gothic" w:hAnsi="Century Gothic"/>
          <w:sz w:val="24"/>
          <w:szCs w:val="24"/>
        </w:rPr>
        <w:t xml:space="preserve"> zwykle trzeba dodatkowo zabezpieczyć miejsce, które było powodem powstania skrzepliny w naczyniu krwionośnym (drugi zabieg przez ten sam dostęp, przeważnie następnego dnia).</w:t>
      </w:r>
    </w:p>
    <w:p w:rsidR="00FB640B" w:rsidRPr="005C3646" w:rsidRDefault="00FB640B" w:rsidP="005C3646">
      <w:pPr>
        <w:jc w:val="both"/>
        <w:rPr>
          <w:rFonts w:ascii="Century Gothic" w:hAnsi="Century Gothic"/>
          <w:sz w:val="24"/>
          <w:szCs w:val="24"/>
        </w:rPr>
      </w:pPr>
    </w:p>
    <w:p w:rsidR="00FB640B" w:rsidRDefault="00FB640B" w:rsidP="005C3646">
      <w:pPr>
        <w:pStyle w:val="Akapitzlist"/>
        <w:numPr>
          <w:ilvl w:val="0"/>
          <w:numId w:val="1"/>
        </w:numPr>
        <w:jc w:val="both"/>
        <w:rPr>
          <w:rFonts w:ascii="Century Gothic" w:hAnsi="Century Gothic"/>
          <w:sz w:val="24"/>
          <w:szCs w:val="24"/>
        </w:rPr>
      </w:pPr>
      <w:r w:rsidRPr="005C3646">
        <w:rPr>
          <w:rFonts w:ascii="Century Gothic" w:hAnsi="Century Gothic"/>
          <w:sz w:val="24"/>
          <w:szCs w:val="24"/>
        </w:rPr>
        <w:t xml:space="preserve">skruszenie zwapnień w ścianie naczynia w celu poprawy jego podatności na poszerzanie (za pomocą tzw. litotrypsji wewnątrznaczyniowej- IVL, balonu tnącego, </w:t>
      </w:r>
      <w:proofErr w:type="spellStart"/>
      <w:r w:rsidRPr="005C3646">
        <w:rPr>
          <w:rFonts w:ascii="Century Gothic" w:hAnsi="Century Gothic"/>
          <w:sz w:val="24"/>
          <w:szCs w:val="24"/>
        </w:rPr>
        <w:t>aterektomii</w:t>
      </w:r>
      <w:proofErr w:type="spellEnd"/>
      <w:r w:rsidRPr="005C3646">
        <w:rPr>
          <w:rFonts w:ascii="Century Gothic" w:hAnsi="Century Gothic"/>
          <w:sz w:val="24"/>
          <w:szCs w:val="24"/>
        </w:rPr>
        <w:t xml:space="preserve">, kruszenia zwapnień naczyniowych igłą przez skórę). Niestety, każda z wymienionych procedur wewnątrznaczyniowych, dodatkowe nakłucia naczyń, większe profile </w:t>
      </w:r>
      <w:r w:rsidRPr="005C3646">
        <w:rPr>
          <w:rFonts w:ascii="Century Gothic" w:hAnsi="Century Gothic"/>
          <w:sz w:val="24"/>
          <w:szCs w:val="24"/>
        </w:rPr>
        <w:lastRenderedPageBreak/>
        <w:t xml:space="preserve">dostępów naczyniowych wiążą się z większym ryzykiem powikłań miejscowych i ogólnoustrojowych, opisanych w dalszej części formularza. </w:t>
      </w:r>
    </w:p>
    <w:p w:rsidR="00B307B4" w:rsidRPr="00B307B4" w:rsidRDefault="00B307B4" w:rsidP="00B307B4">
      <w:pPr>
        <w:pStyle w:val="Akapitzlist"/>
        <w:rPr>
          <w:rFonts w:ascii="Century Gothic" w:hAnsi="Century Gothic"/>
          <w:sz w:val="24"/>
          <w:szCs w:val="24"/>
        </w:rPr>
      </w:pPr>
    </w:p>
    <w:p w:rsidR="00B307B4" w:rsidRPr="005C3646" w:rsidRDefault="00B307B4" w:rsidP="00B307B4">
      <w:pPr>
        <w:pStyle w:val="Akapitzlist"/>
        <w:ind w:left="770"/>
        <w:jc w:val="both"/>
        <w:rPr>
          <w:rFonts w:ascii="Century Gothic" w:hAnsi="Century Gothic"/>
          <w:sz w:val="24"/>
          <w:szCs w:val="24"/>
        </w:rPr>
      </w:pPr>
    </w:p>
    <w:p w:rsidR="00B307B4" w:rsidRDefault="00735429" w:rsidP="00B307B4">
      <w:pPr>
        <w:ind w:left="-700"/>
        <w:jc w:val="both"/>
        <w:rPr>
          <w:rFonts w:ascii="Century Gothic" w:hAnsi="Century Gothic"/>
          <w:b/>
          <w:i/>
          <w:sz w:val="24"/>
          <w:szCs w:val="24"/>
          <w:u w:val="single"/>
        </w:rPr>
      </w:pPr>
      <w:r w:rsidRPr="00B307B4">
        <w:rPr>
          <w:rFonts w:ascii="Century Gothic" w:hAnsi="Century Gothic"/>
          <w:sz w:val="24"/>
          <w:szCs w:val="24"/>
          <w:u w:val="single"/>
        </w:rPr>
        <w:t xml:space="preserve"> </w:t>
      </w:r>
      <w:bookmarkStart w:id="0" w:name="_Hlk193255800"/>
      <w:r w:rsidRPr="00B307B4">
        <w:rPr>
          <w:rFonts w:ascii="Century Gothic" w:hAnsi="Century Gothic"/>
          <w:b/>
          <w:sz w:val="24"/>
          <w:szCs w:val="24"/>
          <w:u w:val="single"/>
        </w:rPr>
        <w:t>KONIECZNOŚĆ ZMIANY/ ROZSZERZENIA ZABIEGU OPERACYJNEGO PODCZAS JEGO TRWANIA:</w:t>
      </w:r>
      <w:bookmarkEnd w:id="0"/>
    </w:p>
    <w:p w:rsidR="00B307B4" w:rsidRDefault="00B307B4" w:rsidP="00B307B4">
      <w:pPr>
        <w:ind w:left="-700"/>
        <w:jc w:val="both"/>
        <w:rPr>
          <w:rFonts w:ascii="Century Gothic" w:hAnsi="Century Gothic"/>
          <w:b/>
          <w:i/>
          <w:sz w:val="24"/>
          <w:szCs w:val="24"/>
          <w:u w:val="single"/>
        </w:rPr>
      </w:pPr>
      <w:r>
        <w:rPr>
          <w:rFonts w:ascii="Century Gothic" w:hAnsi="Century Gothic"/>
          <w:sz w:val="24"/>
          <w:szCs w:val="24"/>
        </w:rPr>
        <w:t xml:space="preserve">W </w:t>
      </w:r>
      <w:r w:rsidRPr="00B307B4">
        <w:rPr>
          <w:rFonts w:ascii="Century Gothic" w:hAnsi="Century Gothic"/>
          <w:sz w:val="24"/>
          <w:szCs w:val="24"/>
        </w:rPr>
        <w:t xml:space="preserve">trakcie zabiegu mogą wystąpić nieprzewidziane okoliczności (np. wystąpienie krwawienia, zatoru, rozwarstwienia, pęknięcia tętnicy), wymagające zmiany zakresu lub rozszerzenia procedury, co może obejmować konieczność wykonania dodatkowego nakłucia, innego rodzaju interwencji wewnątrznaczyniowej lub otwartej operacji naczyniowej. Ostateczna decyzja o zakresie przeprowadzanego zabiegu i jego zakresie będzie podejmowana przez lekarza prowadzącego/ wykonującego zabieg w oparciu o Pana/ Pani stan kliniczny oraz występujące warunki anatomiczne. Lekarz poinformuje Pana/Panią o tym przed zabiegiem, a w przypadkach niestandardowych, także podczas zabiegu i wyjaśni konieczność jego rozszerzenia, ponieważ zabieg wykonywany w znieczuleniu miejscowym daje taka możliwość. Będziecie Państwo proszeni o wyrażenie zgody ustnej na rozszerzenie zabiegu. </w:t>
      </w:r>
    </w:p>
    <w:p w:rsidR="00A45C65" w:rsidRDefault="00B307B4" w:rsidP="00A45C65">
      <w:pPr>
        <w:ind w:left="-700"/>
        <w:jc w:val="both"/>
        <w:rPr>
          <w:rFonts w:ascii="Century Gothic" w:hAnsi="Century Gothic"/>
          <w:sz w:val="24"/>
          <w:szCs w:val="24"/>
        </w:rPr>
      </w:pPr>
      <w:r w:rsidRPr="00B307B4">
        <w:rPr>
          <w:rFonts w:ascii="Century Gothic" w:hAnsi="Century Gothic"/>
          <w:sz w:val="24"/>
          <w:szCs w:val="24"/>
        </w:rPr>
        <w:t xml:space="preserve">Po zakończeniu procedury i uzyskaniu wskaźników powrotu prawidłowego krzepnięcia krwi, </w:t>
      </w:r>
      <w:proofErr w:type="spellStart"/>
      <w:r w:rsidRPr="00B307B4">
        <w:rPr>
          <w:rFonts w:ascii="Century Gothic" w:hAnsi="Century Gothic"/>
          <w:sz w:val="24"/>
          <w:szCs w:val="24"/>
        </w:rPr>
        <w:t>introduktor</w:t>
      </w:r>
      <w:proofErr w:type="spellEnd"/>
      <w:r w:rsidRPr="00B307B4">
        <w:rPr>
          <w:rFonts w:ascii="Century Gothic" w:hAnsi="Century Gothic"/>
          <w:sz w:val="24"/>
          <w:szCs w:val="24"/>
        </w:rPr>
        <w:t xml:space="preserve"> jest usuwany a miejsce wkłucia uciskane do chwili ustania krwawienia. Następnie zakładany jest opatrunek uciskowy. W czasie trwania ucisku konieczne jest unieruchomienie nakłuwanej kończyny, co oznacza najczęściej konieczność leżenia na plecach przez 12-16 godzin. W przypadku odpowiedniego stanu naczynia miejsce wkłucia może zostać zamknięte przy pomocy </w:t>
      </w:r>
      <w:proofErr w:type="spellStart"/>
      <w:r w:rsidRPr="00B307B4">
        <w:rPr>
          <w:rFonts w:ascii="Century Gothic" w:hAnsi="Century Gothic"/>
          <w:sz w:val="24"/>
          <w:szCs w:val="24"/>
        </w:rPr>
        <w:t>okludera</w:t>
      </w:r>
      <w:proofErr w:type="spellEnd"/>
      <w:r w:rsidRPr="00B307B4">
        <w:rPr>
          <w:rFonts w:ascii="Century Gothic" w:hAnsi="Century Gothic"/>
          <w:sz w:val="24"/>
          <w:szCs w:val="24"/>
        </w:rPr>
        <w:t xml:space="preserve"> (szwu lub specjalnego korka), który powoduje natychmiastowe zamknięcie otworu w naczyniu, dzięki czemu czas unieruchomienia może być nieco krótszy. W tym przypadku także istnieje konieczność założenia opatrunku uciskowego i leżenia przynajmniej przez 4-6 godzin, zależnie od decyzji operatora, oceniającego skuteczność zamknięcia naczynia. </w:t>
      </w:r>
    </w:p>
    <w:p w:rsidR="00A45C65" w:rsidRDefault="00A45C65" w:rsidP="00A45C65">
      <w:pPr>
        <w:ind w:left="-700"/>
        <w:jc w:val="both"/>
        <w:rPr>
          <w:rFonts w:ascii="Century Gothic" w:hAnsi="Century Gothic"/>
          <w:b/>
          <w:i/>
          <w:sz w:val="24"/>
          <w:szCs w:val="24"/>
          <w:u w:val="single"/>
        </w:rPr>
      </w:pPr>
    </w:p>
    <w:p w:rsidR="00A45C65" w:rsidRPr="00A45C65" w:rsidRDefault="00A45C65" w:rsidP="00A45C65">
      <w:pPr>
        <w:ind w:left="-700"/>
        <w:jc w:val="both"/>
        <w:rPr>
          <w:rFonts w:ascii="Century Gothic" w:hAnsi="Century Gothic"/>
          <w:b/>
          <w:i/>
          <w:sz w:val="24"/>
          <w:szCs w:val="24"/>
          <w:u w:val="single"/>
        </w:rPr>
      </w:pPr>
      <w:r w:rsidRPr="00A45C65">
        <w:rPr>
          <w:rFonts w:ascii="Century Gothic" w:hAnsi="Century Gothic"/>
          <w:b/>
          <w:sz w:val="24"/>
          <w:szCs w:val="24"/>
        </w:rPr>
        <w:t>ZALECENIA OKOŁOZABIEGOWE:</w:t>
      </w:r>
    </w:p>
    <w:p w:rsidR="00A45C65" w:rsidRDefault="00A45C65" w:rsidP="00A45C65">
      <w:pPr>
        <w:ind w:left="-700"/>
        <w:jc w:val="both"/>
        <w:rPr>
          <w:rFonts w:ascii="Century Gothic" w:hAnsi="Century Gothic"/>
          <w:sz w:val="24"/>
          <w:szCs w:val="24"/>
        </w:rPr>
      </w:pPr>
      <w:r w:rsidRPr="00A45C65">
        <w:rPr>
          <w:rFonts w:ascii="Century Gothic" w:hAnsi="Century Gothic"/>
          <w:b/>
          <w:sz w:val="24"/>
          <w:szCs w:val="24"/>
        </w:rPr>
        <w:t>Przed zabiegiem zostaną wykonane:</w:t>
      </w:r>
      <w:r>
        <w:rPr>
          <w:rFonts w:ascii="Century Gothic" w:hAnsi="Century Gothic"/>
          <w:b/>
          <w:i/>
          <w:sz w:val="24"/>
          <w:szCs w:val="24"/>
          <w:u w:val="single"/>
        </w:rPr>
        <w:t xml:space="preserve"> </w:t>
      </w:r>
      <w:r w:rsidRPr="00A45C65">
        <w:rPr>
          <w:rFonts w:ascii="Century Gothic" w:hAnsi="Century Gothic"/>
          <w:sz w:val="24"/>
          <w:szCs w:val="24"/>
        </w:rPr>
        <w:t xml:space="preserve">badania diagnostyczne: (badania laboratoryjne, EKG, USG, tomografia, angiografia), które pozwolą na dokładną ocenę stanu zdrowia. </w:t>
      </w:r>
    </w:p>
    <w:p w:rsidR="00A83918" w:rsidRPr="00A45C65" w:rsidRDefault="00A83918" w:rsidP="00A45C65">
      <w:pPr>
        <w:ind w:left="-700"/>
        <w:jc w:val="both"/>
        <w:rPr>
          <w:rFonts w:ascii="Century Gothic" w:hAnsi="Century Gothic"/>
          <w:b/>
          <w:i/>
          <w:sz w:val="24"/>
          <w:szCs w:val="24"/>
          <w:u w:val="single"/>
        </w:rPr>
      </w:pPr>
    </w:p>
    <w:p w:rsidR="00A45C65" w:rsidRPr="00A45C65" w:rsidRDefault="00A45C65" w:rsidP="00A45C65">
      <w:pPr>
        <w:tabs>
          <w:tab w:val="left" w:pos="-284"/>
        </w:tabs>
        <w:ind w:left="-709"/>
        <w:jc w:val="both"/>
        <w:rPr>
          <w:rFonts w:ascii="Century Gothic" w:hAnsi="Century Gothic"/>
          <w:sz w:val="24"/>
          <w:szCs w:val="24"/>
        </w:rPr>
      </w:pPr>
      <w:r w:rsidRPr="00A45C65">
        <w:rPr>
          <w:rFonts w:ascii="Century Gothic" w:hAnsi="Century Gothic"/>
          <w:b/>
          <w:bCs/>
          <w:sz w:val="24"/>
          <w:szCs w:val="24"/>
        </w:rPr>
        <w:t>Zalecenia dla Pacjenta przed zabiegiem:</w:t>
      </w:r>
    </w:p>
    <w:p w:rsidR="00A45C65" w:rsidRPr="00A83918" w:rsidRDefault="00A45C65" w:rsidP="00A83918">
      <w:pPr>
        <w:jc w:val="both"/>
        <w:rPr>
          <w:rFonts w:ascii="Century Gothic" w:hAnsi="Century Gothic"/>
          <w:sz w:val="24"/>
          <w:szCs w:val="24"/>
        </w:rPr>
      </w:pPr>
      <w:bookmarkStart w:id="1" w:name="_Hlk194942808"/>
      <w:r w:rsidRPr="005E6AB2">
        <w:lastRenderedPageBreak/>
        <w:t>-</w:t>
      </w:r>
      <w:r w:rsidRPr="00A83918">
        <w:rPr>
          <w:rFonts w:ascii="Century Gothic" w:hAnsi="Century Gothic"/>
          <w:sz w:val="24"/>
          <w:szCs w:val="24"/>
        </w:rPr>
        <w:t xml:space="preserve"> pacjent powinien usunąć owłosienie łonowe, pachowe oraz umyć całe ciało, szczególnie okolice dostępu naczyniowego (pachwiny, pachy), aby zmniejszyć ryzyko zakażenia, w zabiegach tych może pomóc pielęgniarka; </w:t>
      </w:r>
    </w:p>
    <w:bookmarkEnd w:id="1"/>
    <w:p w:rsidR="00A45C65" w:rsidRPr="00A83918" w:rsidRDefault="00A45C65" w:rsidP="00A83918">
      <w:pPr>
        <w:jc w:val="both"/>
        <w:rPr>
          <w:rFonts w:ascii="Century Gothic" w:hAnsi="Century Gothic"/>
          <w:sz w:val="24"/>
          <w:szCs w:val="24"/>
        </w:rPr>
      </w:pPr>
      <w:r w:rsidRPr="00A83918">
        <w:rPr>
          <w:rFonts w:ascii="Century Gothic" w:hAnsi="Century Gothic"/>
          <w:sz w:val="24"/>
          <w:szCs w:val="24"/>
        </w:rPr>
        <w:t xml:space="preserve">- w zależności od stanu pacjenta, lekarz może zalecić przerwanie przyjmowania leków przeciwzakrzepowych i przeciwcukrzycowych lub innych, które mogą wpłynąć na bezpieczeństwo zabiegu. </w:t>
      </w:r>
    </w:p>
    <w:p w:rsidR="00A45C65" w:rsidRPr="00A83918" w:rsidRDefault="00A45C65" w:rsidP="00A83918">
      <w:pPr>
        <w:jc w:val="both"/>
        <w:rPr>
          <w:rFonts w:ascii="Century Gothic" w:hAnsi="Century Gothic"/>
          <w:sz w:val="24"/>
          <w:szCs w:val="24"/>
        </w:rPr>
      </w:pPr>
      <w:r w:rsidRPr="00A83918">
        <w:rPr>
          <w:rFonts w:ascii="Century Gothic" w:hAnsi="Century Gothic"/>
          <w:sz w:val="24"/>
          <w:szCs w:val="24"/>
        </w:rPr>
        <w:t xml:space="preserve">- pacjent powinien powstrzymać się od jedzenia i picia w ciągu 2 godzin przed zabiegiem, chyba że lekarz zaleci inaczej. </w:t>
      </w:r>
    </w:p>
    <w:p w:rsidR="00A45C65" w:rsidRPr="00A83918" w:rsidRDefault="00A45C65" w:rsidP="00A45C65">
      <w:pPr>
        <w:tabs>
          <w:tab w:val="left" w:pos="-284"/>
        </w:tabs>
        <w:ind w:left="-709"/>
        <w:jc w:val="both"/>
        <w:rPr>
          <w:rFonts w:ascii="Century Gothic" w:hAnsi="Century Gothic"/>
          <w:sz w:val="24"/>
          <w:szCs w:val="24"/>
        </w:rPr>
      </w:pPr>
      <w:r w:rsidRPr="00A83918">
        <w:rPr>
          <w:rFonts w:ascii="Century Gothic" w:hAnsi="Century Gothic"/>
          <w:b/>
          <w:bCs/>
          <w:sz w:val="24"/>
          <w:szCs w:val="24"/>
        </w:rPr>
        <w:t>Po zabiegu:</w:t>
      </w:r>
    </w:p>
    <w:p w:rsidR="00A45C65" w:rsidRPr="00A83918" w:rsidRDefault="00A45C65" w:rsidP="00A83918">
      <w:pPr>
        <w:jc w:val="both"/>
        <w:rPr>
          <w:rFonts w:ascii="Century Gothic" w:hAnsi="Century Gothic" w:cs="Times New Roman"/>
          <w:sz w:val="24"/>
          <w:szCs w:val="24"/>
        </w:rPr>
      </w:pPr>
      <w:r w:rsidRPr="005E6AB2">
        <w:t xml:space="preserve">- </w:t>
      </w:r>
      <w:r w:rsidRPr="00A83918">
        <w:rPr>
          <w:rFonts w:ascii="Century Gothic" w:hAnsi="Century Gothic" w:cs="Times New Roman"/>
          <w:sz w:val="24"/>
          <w:szCs w:val="24"/>
        </w:rPr>
        <w:t xml:space="preserve">lekarz zaleca kroplówki, ew. inne leki; posiłek można zjeść przeważnie po 2-6 godz. od zakończenia zabiegu, chyba, że lekarz zaleci inaczej; </w:t>
      </w:r>
    </w:p>
    <w:p w:rsidR="00A45C65" w:rsidRPr="00A83918" w:rsidRDefault="00A45C65" w:rsidP="00A83918">
      <w:pPr>
        <w:jc w:val="both"/>
        <w:rPr>
          <w:rFonts w:ascii="Century Gothic" w:hAnsi="Century Gothic" w:cs="Times New Roman"/>
          <w:sz w:val="24"/>
          <w:szCs w:val="24"/>
        </w:rPr>
      </w:pPr>
      <w:r w:rsidRPr="00A83918">
        <w:rPr>
          <w:rFonts w:ascii="Century Gothic" w:hAnsi="Century Gothic" w:cs="Times New Roman"/>
          <w:sz w:val="24"/>
          <w:szCs w:val="24"/>
        </w:rPr>
        <w:t>- konieczne zastosowanie się do zaleceń lekarza i pielęgniarek, w tym przyjęcie i utrzymanie pozycji leżącej przez okres kilkunastu godzin po wykonanym zabiegu zgodnie z instrukcjami ustnymi; niepalenie tytoniu, zachowanie spokoju</w:t>
      </w:r>
    </w:p>
    <w:p w:rsidR="00A45C65" w:rsidRPr="00A83918" w:rsidRDefault="00A45C65" w:rsidP="00A83918">
      <w:pPr>
        <w:jc w:val="both"/>
        <w:rPr>
          <w:rFonts w:ascii="Century Gothic" w:hAnsi="Century Gothic" w:cs="Times New Roman"/>
          <w:sz w:val="24"/>
          <w:szCs w:val="24"/>
        </w:rPr>
      </w:pPr>
      <w:r w:rsidRPr="00A83918">
        <w:rPr>
          <w:rFonts w:ascii="Century Gothic" w:hAnsi="Century Gothic" w:cs="Times New Roman"/>
          <w:sz w:val="24"/>
          <w:szCs w:val="24"/>
        </w:rPr>
        <w:t>- nie należy przyjmować leków własnych, tylko ściśle te, które zaleci lekarz oddziałowy (podawane przez pielęgniarkę)</w:t>
      </w:r>
    </w:p>
    <w:p w:rsidR="00A45C65" w:rsidRPr="00A83918" w:rsidRDefault="00A45C65" w:rsidP="00A83918">
      <w:pPr>
        <w:jc w:val="both"/>
        <w:rPr>
          <w:rFonts w:ascii="Century Gothic" w:hAnsi="Century Gothic" w:cs="Times New Roman"/>
          <w:sz w:val="24"/>
          <w:szCs w:val="24"/>
        </w:rPr>
      </w:pPr>
      <w:r w:rsidRPr="00A83918">
        <w:rPr>
          <w:rFonts w:ascii="Century Gothic" w:hAnsi="Century Gothic" w:cs="Times New Roman"/>
          <w:sz w:val="24"/>
          <w:szCs w:val="24"/>
        </w:rPr>
        <w:t>- należy zgłaszać wszelkie niepokojące objawy występujące w miejscu dostępu naczyniowego (np. w pachwinie, kończynie górnej), w miejscu leczonym,  lub w całej kończynie (-ach)</w:t>
      </w:r>
    </w:p>
    <w:p w:rsidR="00A45C65" w:rsidRPr="00A83918" w:rsidRDefault="00A45C65" w:rsidP="00A83918">
      <w:pPr>
        <w:jc w:val="both"/>
        <w:rPr>
          <w:rFonts w:ascii="Century Gothic" w:hAnsi="Century Gothic" w:cs="Times New Roman"/>
          <w:sz w:val="24"/>
          <w:szCs w:val="24"/>
        </w:rPr>
      </w:pPr>
      <w:r w:rsidRPr="00A83918">
        <w:rPr>
          <w:rFonts w:ascii="Century Gothic" w:hAnsi="Century Gothic" w:cs="Times New Roman"/>
          <w:sz w:val="24"/>
          <w:szCs w:val="24"/>
        </w:rPr>
        <w:t xml:space="preserve">- należy zastosować zmiany w diecie i stylu życia: zdrową dietę, regularną aktywność fizyczną (zgodnie z zaleceniami lekarza), wyrównanie cukrzycy, rzucenie palenia tytoniu, kontrolowanie wagi ciała, cukrzycy, stężenia cholesterolu LDL i </w:t>
      </w:r>
      <w:proofErr w:type="spellStart"/>
      <w:r w:rsidRPr="00A83918">
        <w:rPr>
          <w:rFonts w:ascii="Century Gothic" w:hAnsi="Century Gothic" w:cs="Times New Roman"/>
          <w:sz w:val="24"/>
          <w:szCs w:val="24"/>
        </w:rPr>
        <w:t>triglicerydów</w:t>
      </w:r>
      <w:proofErr w:type="spellEnd"/>
      <w:r w:rsidRPr="00A83918">
        <w:rPr>
          <w:rFonts w:ascii="Century Gothic" w:hAnsi="Century Gothic" w:cs="Times New Roman"/>
          <w:sz w:val="24"/>
          <w:szCs w:val="24"/>
        </w:rPr>
        <w:t xml:space="preserve"> oraz ciśnienia krwi, </w:t>
      </w:r>
    </w:p>
    <w:p w:rsidR="00A45C65" w:rsidRPr="005E6AB2" w:rsidRDefault="00A45C65" w:rsidP="00A45C65">
      <w:pPr>
        <w:tabs>
          <w:tab w:val="left" w:pos="-284"/>
        </w:tabs>
        <w:ind w:left="-709"/>
        <w:jc w:val="both"/>
      </w:pPr>
    </w:p>
    <w:p w:rsidR="00A45C65" w:rsidRPr="00A83918" w:rsidRDefault="00A45C65" w:rsidP="00A45C65">
      <w:pPr>
        <w:tabs>
          <w:tab w:val="left" w:pos="-284"/>
        </w:tabs>
        <w:ind w:left="-709"/>
        <w:jc w:val="both"/>
        <w:rPr>
          <w:rFonts w:ascii="Century Gothic" w:hAnsi="Century Gothic"/>
          <w:sz w:val="24"/>
          <w:szCs w:val="24"/>
        </w:rPr>
      </w:pPr>
      <w:r w:rsidRPr="00A83918">
        <w:rPr>
          <w:rFonts w:ascii="Century Gothic" w:hAnsi="Century Gothic"/>
          <w:b/>
          <w:bCs/>
          <w:sz w:val="24"/>
          <w:szCs w:val="24"/>
        </w:rPr>
        <w:t>Okres rekonwalescencji:</w:t>
      </w:r>
    </w:p>
    <w:p w:rsidR="00A45C65" w:rsidRPr="00A83918" w:rsidRDefault="00A45C65" w:rsidP="00A83918">
      <w:pPr>
        <w:jc w:val="both"/>
        <w:rPr>
          <w:rFonts w:ascii="Century Gothic" w:hAnsi="Century Gothic"/>
          <w:sz w:val="24"/>
          <w:szCs w:val="24"/>
        </w:rPr>
      </w:pPr>
      <w:r w:rsidRPr="00A83918">
        <w:rPr>
          <w:rFonts w:ascii="Century Gothic" w:hAnsi="Century Gothic"/>
          <w:sz w:val="24"/>
          <w:szCs w:val="24"/>
        </w:rPr>
        <w:t>- Unikanie dużego wysiłku: Przez pierwsze 2 tygodnie po zabiegu należy unikać intensywnego wysiłku fizycznego i długotrwałego stania i dźwigania, oszczędzając szczególnie tę kończynę, w której było nakłucie tętnicy.</w:t>
      </w:r>
    </w:p>
    <w:p w:rsidR="00A45C65" w:rsidRPr="00A83918" w:rsidRDefault="00A45C65" w:rsidP="00A83918">
      <w:pPr>
        <w:jc w:val="both"/>
        <w:rPr>
          <w:rFonts w:ascii="Century Gothic" w:hAnsi="Century Gothic"/>
          <w:sz w:val="24"/>
          <w:szCs w:val="24"/>
        </w:rPr>
      </w:pPr>
      <w:r w:rsidRPr="00A83918">
        <w:rPr>
          <w:rFonts w:ascii="Century Gothic" w:hAnsi="Century Gothic"/>
          <w:sz w:val="24"/>
          <w:szCs w:val="24"/>
        </w:rPr>
        <w:t xml:space="preserve">- należy kontynuować zalecenia prozdrowotnych zmian stylu życia i aktywności fizycznej; </w:t>
      </w:r>
    </w:p>
    <w:p w:rsidR="00A83918" w:rsidRDefault="00A45C65" w:rsidP="00A83918">
      <w:pPr>
        <w:jc w:val="both"/>
        <w:rPr>
          <w:rFonts w:ascii="Century Gothic" w:hAnsi="Century Gothic"/>
          <w:sz w:val="24"/>
          <w:szCs w:val="24"/>
        </w:rPr>
      </w:pPr>
      <w:r w:rsidRPr="00A83918">
        <w:rPr>
          <w:rFonts w:ascii="Century Gothic" w:hAnsi="Century Gothic"/>
          <w:sz w:val="24"/>
          <w:szCs w:val="24"/>
        </w:rPr>
        <w:t>- kontrole lekarskie: Regularne wizyty kontrolne pozwalają na monitorowanie efektów zabiegu i stanu zdrowia pacjenta. Podczas omawiania karty wypisowej lekarz ustali z Panem/ Panią termin wizyty kontrolnej w poradni</w:t>
      </w:r>
    </w:p>
    <w:p w:rsidR="00A45C65" w:rsidRDefault="00A45C65" w:rsidP="00A83918">
      <w:pPr>
        <w:jc w:val="both"/>
        <w:rPr>
          <w:rFonts w:ascii="Century Gothic" w:hAnsi="Century Gothic"/>
          <w:sz w:val="24"/>
          <w:szCs w:val="24"/>
        </w:rPr>
      </w:pPr>
      <w:r w:rsidRPr="00A83918">
        <w:rPr>
          <w:rFonts w:ascii="Century Gothic" w:hAnsi="Century Gothic"/>
          <w:sz w:val="24"/>
          <w:szCs w:val="24"/>
        </w:rPr>
        <w:lastRenderedPageBreak/>
        <w:t>Jeżeli potrzebujecie Państwo dodatkowych informacji związanych z tym zabiegiem możecie Państwo porozmawiać z leczącym Państwa lekarzem.</w:t>
      </w:r>
    </w:p>
    <w:p w:rsidR="009F5B10" w:rsidRPr="00A83918" w:rsidRDefault="009F5B10" w:rsidP="00A83918">
      <w:pPr>
        <w:jc w:val="both"/>
        <w:rPr>
          <w:rFonts w:ascii="Century Gothic" w:hAnsi="Century Gothic"/>
          <w:sz w:val="24"/>
          <w:szCs w:val="24"/>
        </w:rPr>
      </w:pPr>
    </w:p>
    <w:p w:rsidR="009F5B10" w:rsidRPr="009F5B10" w:rsidRDefault="009F5B10" w:rsidP="009F5B10">
      <w:pPr>
        <w:ind w:left="-700"/>
        <w:jc w:val="both"/>
        <w:rPr>
          <w:rFonts w:ascii="Century Gothic" w:hAnsi="Century Gothic"/>
          <w:b/>
          <w:bCs/>
          <w:sz w:val="24"/>
          <w:szCs w:val="24"/>
        </w:rPr>
      </w:pPr>
      <w:r w:rsidRPr="009F5B10">
        <w:rPr>
          <w:rFonts w:ascii="Century Gothic" w:hAnsi="Century Gothic"/>
          <w:b/>
          <w:bCs/>
          <w:sz w:val="24"/>
          <w:szCs w:val="24"/>
        </w:rPr>
        <w:t xml:space="preserve">4. OCZEKIWANE KORZYŚCI Z PRZEPROWADZENIA ZABIEGU </w:t>
      </w:r>
    </w:p>
    <w:p w:rsidR="009F5B10" w:rsidRPr="009F5B10" w:rsidRDefault="009F5B10" w:rsidP="009F5B10">
      <w:pPr>
        <w:ind w:left="-700"/>
        <w:jc w:val="both"/>
        <w:rPr>
          <w:rFonts w:ascii="Century Gothic" w:hAnsi="Century Gothic"/>
          <w:sz w:val="24"/>
          <w:szCs w:val="24"/>
        </w:rPr>
      </w:pPr>
      <w:r w:rsidRPr="009F5B10">
        <w:rPr>
          <w:rFonts w:ascii="Century Gothic" w:hAnsi="Century Gothic"/>
          <w:sz w:val="24"/>
          <w:szCs w:val="24"/>
        </w:rPr>
        <w:t xml:space="preserve">Jak wspomniano, zabieg wewnątrznaczyniowy </w:t>
      </w:r>
      <w:r w:rsidRPr="009F5B10">
        <w:rPr>
          <w:rFonts w:ascii="Century Gothic" w:hAnsi="Century Gothic"/>
          <w:b/>
          <w:bCs/>
          <w:sz w:val="24"/>
          <w:szCs w:val="24"/>
        </w:rPr>
        <w:t>w ostrym niedokrwieniu kończyny</w:t>
      </w:r>
      <w:r w:rsidRPr="009F5B10">
        <w:rPr>
          <w:rFonts w:ascii="Century Gothic" w:hAnsi="Century Gothic"/>
          <w:sz w:val="24"/>
          <w:szCs w:val="24"/>
        </w:rPr>
        <w:t xml:space="preserve">, o ile jest możliwy, ma na celu głównie uchronienie pacjenta przed amputacją kończyny, uwolnienie go od silnego bólu niedokrwiennego, a także zapewnienie jak najdłuższej pierwotnej drożności „naprawianego naczynia”. W przypadku </w:t>
      </w:r>
      <w:r w:rsidRPr="009F5B10">
        <w:rPr>
          <w:rFonts w:ascii="Century Gothic" w:hAnsi="Century Gothic"/>
          <w:b/>
          <w:bCs/>
          <w:sz w:val="24"/>
          <w:szCs w:val="24"/>
        </w:rPr>
        <w:t>przewlekłego niedokrwienia</w:t>
      </w:r>
      <w:r w:rsidRPr="009F5B10">
        <w:rPr>
          <w:rFonts w:ascii="Century Gothic" w:hAnsi="Century Gothic"/>
          <w:sz w:val="24"/>
          <w:szCs w:val="24"/>
        </w:rPr>
        <w:t xml:space="preserve"> (objawów trwających powyżej 14 dni), w zależności od wyjściowego nasilenia dolegliwości, oczekiwaną korzyścią z zabiegu jest wydłużenie dystansu marszu, który można pokonać bez bólu, a w przypadku niedokrwienia zagrażającego utratą kończyny (niedokrwienie krytyczne) celem leczenia jest uchronienie kończyny przed amputacją (czasem tylko ograniczenie jej zakresu) oraz poprawa jakości życia, poprzez opanowanie spoczynkowego, zwłaszcza nocnego bólu kończyny, umożliwienie snu, poruszania się i wygojenia owrzodzeń. Należy podkreślić, że zabieg nie leczy podstawowej przyczyny niedokrwienia kończyny, czyli miażdżycy, tylko usuwa/ łagodzi jej skutki (zwężenie naczynia), dlatego efekt odległy zabiegu zależy od przestrzegania przez Pana/ Panią zaleceń: (a) zmian stylu życia (zaprzestanie palenia tytoniu, zdrowa dieta, kontrola wagi ciała, regularny wysiłek tlenowy i umiarkowane ćwiczenia oporowe), (b) przyjmowania tabletek (np. </w:t>
      </w:r>
      <w:r w:rsidRPr="009F5B10">
        <w:rPr>
          <w:rFonts w:ascii="Century Gothic" w:hAnsi="Century Gothic"/>
          <w:bCs/>
          <w:sz w:val="24"/>
          <w:szCs w:val="24"/>
        </w:rPr>
        <w:t xml:space="preserve">leki obniżające stężenie cholesterolu, leki „rozrzedzające krew”, jak aspiryna, </w:t>
      </w:r>
      <w:proofErr w:type="spellStart"/>
      <w:r w:rsidRPr="009F5B10">
        <w:rPr>
          <w:rFonts w:ascii="Century Gothic" w:hAnsi="Century Gothic"/>
          <w:bCs/>
          <w:sz w:val="24"/>
          <w:szCs w:val="24"/>
        </w:rPr>
        <w:t>klopidogrel</w:t>
      </w:r>
      <w:proofErr w:type="spellEnd"/>
      <w:r w:rsidRPr="009F5B10">
        <w:rPr>
          <w:rFonts w:ascii="Century Gothic" w:hAnsi="Century Gothic"/>
          <w:bCs/>
          <w:sz w:val="24"/>
          <w:szCs w:val="24"/>
        </w:rPr>
        <w:t>, a także leki przeciwzakrzepowe); (c) uzyskania odpowiedniej kontroli wyrównania cukrzycy, nadciśnienia tętniczego, zaburzeń lipidowych, itd.</w:t>
      </w:r>
      <w:r w:rsidRPr="009F5B10">
        <w:rPr>
          <w:rFonts w:ascii="Century Gothic" w:hAnsi="Century Gothic"/>
          <w:sz w:val="24"/>
          <w:szCs w:val="24"/>
        </w:rPr>
        <w:t xml:space="preserve">), (d) zgłaszania się na ambulatoryjne kontrole lekarskie, w tym u lekarza POZ. Nieprzyjmowanie leków przeciwzakrzepowych grozi powikłaniami pod postacią ostrej zakrzepicy naczynia lub </w:t>
      </w:r>
      <w:proofErr w:type="spellStart"/>
      <w:r w:rsidRPr="009F5B10">
        <w:rPr>
          <w:rFonts w:ascii="Century Gothic" w:hAnsi="Century Gothic"/>
          <w:sz w:val="24"/>
          <w:szCs w:val="24"/>
        </w:rPr>
        <w:t>stentu</w:t>
      </w:r>
      <w:proofErr w:type="spellEnd"/>
      <w:r w:rsidRPr="009F5B10">
        <w:rPr>
          <w:rFonts w:ascii="Century Gothic" w:hAnsi="Century Gothic"/>
          <w:sz w:val="24"/>
          <w:szCs w:val="24"/>
        </w:rPr>
        <w:t xml:space="preserve">. Wiąże się z nią ryzyko utraty kończyny lub konieczność wykonania ponownego zabiegu, z ryzykiem jego powikłań. </w:t>
      </w:r>
    </w:p>
    <w:p w:rsidR="009F5B10" w:rsidRPr="009F5B10" w:rsidRDefault="009F5B10" w:rsidP="009F5B10">
      <w:pPr>
        <w:ind w:left="-700"/>
        <w:jc w:val="both"/>
        <w:rPr>
          <w:rFonts w:ascii="Century Gothic" w:hAnsi="Century Gothic"/>
          <w:sz w:val="24"/>
          <w:szCs w:val="24"/>
        </w:rPr>
      </w:pPr>
      <w:r w:rsidRPr="009F5B10">
        <w:rPr>
          <w:rFonts w:ascii="Century Gothic" w:hAnsi="Century Gothic"/>
          <w:sz w:val="24"/>
          <w:szCs w:val="24"/>
        </w:rPr>
        <w:t xml:space="preserve">Niestety żaden zabieg naczyniowy nie daje gwarancji bezterminowej poprawy albo z powodu progresji miażdżycy albo nawrotu zwężenia w </w:t>
      </w:r>
      <w:proofErr w:type="spellStart"/>
      <w:r w:rsidRPr="009F5B10">
        <w:rPr>
          <w:rFonts w:ascii="Century Gothic" w:hAnsi="Century Gothic"/>
          <w:sz w:val="24"/>
          <w:szCs w:val="24"/>
        </w:rPr>
        <w:t>stencie</w:t>
      </w:r>
      <w:proofErr w:type="spellEnd"/>
      <w:r w:rsidRPr="009F5B10">
        <w:rPr>
          <w:rFonts w:ascii="Century Gothic" w:hAnsi="Century Gothic"/>
          <w:sz w:val="24"/>
          <w:szCs w:val="24"/>
        </w:rPr>
        <w:t xml:space="preserve"> (tzw. </w:t>
      </w:r>
      <w:proofErr w:type="spellStart"/>
      <w:r w:rsidRPr="009F5B10">
        <w:rPr>
          <w:rFonts w:ascii="Century Gothic" w:hAnsi="Century Gothic"/>
          <w:sz w:val="24"/>
          <w:szCs w:val="24"/>
        </w:rPr>
        <w:t>restenozy</w:t>
      </w:r>
      <w:proofErr w:type="spellEnd"/>
      <w:r w:rsidRPr="009F5B10">
        <w:rPr>
          <w:rFonts w:ascii="Century Gothic" w:hAnsi="Century Gothic"/>
          <w:sz w:val="24"/>
          <w:szCs w:val="24"/>
        </w:rPr>
        <w:t xml:space="preserve">). Ogólnie ocenia się, że w ciągu roku u 2-3%, a w ciągu 5 lat u 10-20% pacjentów z chromaniem przestankowym leczonym zachowawczo (tzw. optymalna terapia farmakologiczna) dochodzi do progresji niedokrwienia kończyny (skrócenia dystansu wolnego od chromania,  wystąpienia bólów spoczynkowych, powstanie martwicy lub owrzodzeń). Z drugiej strony, tylko około 30% pacjentów poddanych interwencji zabiegowej  jest wolnych od objawów w 2 lata od zabiegu </w:t>
      </w:r>
      <w:proofErr w:type="spellStart"/>
      <w:r w:rsidRPr="009F5B10">
        <w:rPr>
          <w:rFonts w:ascii="Century Gothic" w:hAnsi="Century Gothic"/>
          <w:sz w:val="24"/>
          <w:szCs w:val="24"/>
        </w:rPr>
        <w:t>rewaskularyzacyjnym</w:t>
      </w:r>
      <w:proofErr w:type="spellEnd"/>
      <w:r w:rsidRPr="009F5B10">
        <w:rPr>
          <w:rFonts w:ascii="Century Gothic" w:hAnsi="Century Gothic"/>
          <w:sz w:val="24"/>
          <w:szCs w:val="24"/>
        </w:rPr>
        <w:t xml:space="preserve">. Drożność leczonego naczynia utrzymuje się przez 5 lat u około 80% pacjentów, którzy mieli przeprowadzony zabieg </w:t>
      </w:r>
      <w:proofErr w:type="spellStart"/>
      <w:r w:rsidRPr="009F5B10">
        <w:rPr>
          <w:rFonts w:ascii="Century Gothic" w:hAnsi="Century Gothic"/>
          <w:sz w:val="24"/>
          <w:szCs w:val="24"/>
        </w:rPr>
        <w:t>stentowania</w:t>
      </w:r>
      <w:proofErr w:type="spellEnd"/>
      <w:r w:rsidRPr="009F5B10">
        <w:rPr>
          <w:rFonts w:ascii="Century Gothic" w:hAnsi="Century Gothic"/>
          <w:sz w:val="24"/>
          <w:szCs w:val="24"/>
        </w:rPr>
        <w:t xml:space="preserve"> tętnic biodrowych, ale w przypadku tętnic poniżej pachwiny już po roku drożność leczonego naczynia na udzie traci 20-30% </w:t>
      </w:r>
      <w:r w:rsidRPr="009F5B10">
        <w:rPr>
          <w:rFonts w:ascii="Century Gothic" w:hAnsi="Century Gothic"/>
          <w:sz w:val="24"/>
          <w:szCs w:val="24"/>
        </w:rPr>
        <w:lastRenderedPageBreak/>
        <w:t xml:space="preserve">pacjentów. Wśród osób, u których zabieg wykonano na tętnicach poniżej kolana, pierwotna utrata drożności naczynia dotyczy nawet 60-70% chorych już po 6 miesiącach od wykonania zabiegu. Oprócz przestrzegania zaleceń lekarskich, odległy efekt zabiegu jest osobniczo zmienny i zależy, m.in. od chorób współistniejących, anatomii zmian naczyniowych (poziomu, lokalizacji, nasilenia, charakteru [kalcyfikacja, </w:t>
      </w:r>
      <w:proofErr w:type="spellStart"/>
      <w:r w:rsidRPr="009F5B10">
        <w:rPr>
          <w:rFonts w:ascii="Century Gothic" w:hAnsi="Century Gothic"/>
          <w:sz w:val="24"/>
          <w:szCs w:val="24"/>
        </w:rPr>
        <w:t>restenoza</w:t>
      </w:r>
      <w:proofErr w:type="spellEnd"/>
      <w:r w:rsidRPr="009F5B10">
        <w:rPr>
          <w:rFonts w:ascii="Century Gothic" w:hAnsi="Century Gothic"/>
          <w:sz w:val="24"/>
          <w:szCs w:val="24"/>
        </w:rPr>
        <w:t>] i długości), nasilenia objawów przed jego wykonaniem (lepsze u pacjentów z chromaniem przestankowym niż w przypadku niedokrwienia krytycznego), liczby wykonywanych wcześniej interwencji, trybu zabiegu (lepsze w przypadku zabiegu planowego, niż wykonywanego w trybie pilnym), itd.</w:t>
      </w:r>
    </w:p>
    <w:p w:rsidR="00101652" w:rsidRDefault="00101652" w:rsidP="00101652"/>
    <w:p w:rsidR="00101652" w:rsidRPr="00101652" w:rsidRDefault="00101652" w:rsidP="00101652">
      <w:pPr>
        <w:ind w:left="-700"/>
        <w:jc w:val="both"/>
        <w:rPr>
          <w:rFonts w:ascii="Century Gothic" w:hAnsi="Century Gothic"/>
          <w:sz w:val="24"/>
          <w:szCs w:val="24"/>
        </w:rPr>
      </w:pPr>
      <w:r w:rsidRPr="00101652">
        <w:rPr>
          <w:rFonts w:ascii="Century Gothic" w:hAnsi="Century Gothic"/>
          <w:sz w:val="24"/>
          <w:szCs w:val="24"/>
        </w:rPr>
        <w:t>Prawdopodobieństwo niepowodzenia proponowanego zabiegu wewnątrznaczyniowego jest w Pana/Pani przypadku:</w:t>
      </w:r>
    </w:p>
    <w:p w:rsidR="00101652" w:rsidRPr="00101652" w:rsidRDefault="00101652" w:rsidP="00101652">
      <w:pPr>
        <w:tabs>
          <w:tab w:val="left" w:pos="-284"/>
        </w:tabs>
        <w:ind w:hanging="567"/>
        <w:jc w:val="both"/>
        <w:rPr>
          <w:rFonts w:ascii="Century Gothic" w:hAnsi="Century Gothic"/>
          <w:i/>
          <w:sz w:val="24"/>
          <w:szCs w:val="24"/>
        </w:rPr>
      </w:pPr>
      <w:r w:rsidRPr="005E6AB2">
        <w:t xml:space="preserve">      </w:t>
      </w:r>
      <w:r w:rsidRPr="00101652">
        <w:rPr>
          <w:rFonts w:ascii="Century Gothic" w:hAnsi="Century Gothic"/>
          <w:sz w:val="24"/>
          <w:szCs w:val="24"/>
        </w:rPr>
        <w:t xml:space="preserve">[] </w:t>
      </w:r>
      <w:r w:rsidRPr="00101652">
        <w:rPr>
          <w:rFonts w:ascii="Century Gothic" w:hAnsi="Century Gothic"/>
          <w:i/>
          <w:sz w:val="24"/>
          <w:szCs w:val="24"/>
        </w:rPr>
        <w:t>duże (&gt;20%)</w:t>
      </w:r>
      <w:r>
        <w:rPr>
          <w:rFonts w:ascii="Century Gothic" w:hAnsi="Century Gothic"/>
          <w:i/>
          <w:sz w:val="24"/>
          <w:szCs w:val="24"/>
        </w:rPr>
        <w:t xml:space="preserve">                     </w:t>
      </w:r>
      <w:r w:rsidRPr="00101652">
        <w:rPr>
          <w:rFonts w:ascii="Century Gothic" w:hAnsi="Century Gothic"/>
          <w:i/>
          <w:sz w:val="24"/>
          <w:szCs w:val="24"/>
        </w:rPr>
        <w:tab/>
      </w:r>
      <w:r w:rsidRPr="00101652">
        <w:rPr>
          <w:rFonts w:ascii="Century Gothic" w:hAnsi="Century Gothic"/>
          <w:sz w:val="24"/>
          <w:szCs w:val="24"/>
        </w:rPr>
        <w:t xml:space="preserve">[ ] </w:t>
      </w:r>
      <w:r w:rsidRPr="00101652">
        <w:rPr>
          <w:rFonts w:ascii="Century Gothic" w:hAnsi="Century Gothic"/>
          <w:i/>
          <w:sz w:val="24"/>
          <w:szCs w:val="24"/>
        </w:rPr>
        <w:t xml:space="preserve">średnie (&lt;10-20%)                   </w:t>
      </w:r>
      <w:r w:rsidRPr="00101652">
        <w:rPr>
          <w:rFonts w:ascii="Century Gothic" w:hAnsi="Century Gothic"/>
          <w:i/>
          <w:sz w:val="24"/>
          <w:szCs w:val="24"/>
        </w:rPr>
        <w:tab/>
      </w:r>
      <w:r w:rsidRPr="00101652">
        <w:rPr>
          <w:rFonts w:ascii="Century Gothic" w:hAnsi="Century Gothic"/>
          <w:sz w:val="24"/>
          <w:szCs w:val="24"/>
        </w:rPr>
        <w:t>[ ] małe (&lt; 10%)</w:t>
      </w:r>
    </w:p>
    <w:p w:rsidR="00101652" w:rsidRPr="005E6AB2" w:rsidRDefault="00101652" w:rsidP="00101652">
      <w:pPr>
        <w:ind w:left="-700"/>
        <w:jc w:val="both"/>
      </w:pPr>
    </w:p>
    <w:p w:rsidR="00101652" w:rsidRPr="00101652" w:rsidRDefault="00101652" w:rsidP="00101652">
      <w:pPr>
        <w:ind w:left="-700"/>
        <w:jc w:val="both"/>
        <w:rPr>
          <w:rFonts w:ascii="Century Gothic" w:hAnsi="Century Gothic"/>
          <w:sz w:val="24"/>
          <w:szCs w:val="24"/>
        </w:rPr>
      </w:pPr>
      <w:r w:rsidRPr="00101652">
        <w:rPr>
          <w:rFonts w:ascii="Century Gothic" w:hAnsi="Century Gothic"/>
          <w:sz w:val="24"/>
          <w:szCs w:val="24"/>
        </w:rPr>
        <w:t>Prawdopodobieństwo utrzymania efektu proponowanego zabiegu wewnątrznaczyniowego w ciągu roku wynosi u Pana/Pani:</w:t>
      </w:r>
    </w:p>
    <w:p w:rsidR="00101652" w:rsidRPr="00101652" w:rsidRDefault="00101652" w:rsidP="00101652">
      <w:pPr>
        <w:tabs>
          <w:tab w:val="left" w:pos="-284"/>
        </w:tabs>
        <w:ind w:hanging="567"/>
        <w:jc w:val="both"/>
        <w:rPr>
          <w:rFonts w:ascii="Century Gothic" w:hAnsi="Century Gothic"/>
          <w:i/>
          <w:sz w:val="24"/>
          <w:szCs w:val="24"/>
        </w:rPr>
      </w:pPr>
      <w:r w:rsidRPr="005E6AB2">
        <w:t xml:space="preserve">      </w:t>
      </w:r>
      <w:r w:rsidRPr="00101652">
        <w:rPr>
          <w:rFonts w:ascii="Century Gothic" w:hAnsi="Century Gothic"/>
          <w:sz w:val="24"/>
          <w:szCs w:val="24"/>
        </w:rPr>
        <w:t xml:space="preserve">[] </w:t>
      </w:r>
      <w:r w:rsidRPr="00101652">
        <w:rPr>
          <w:rFonts w:ascii="Century Gothic" w:hAnsi="Century Gothic"/>
          <w:i/>
          <w:sz w:val="24"/>
          <w:szCs w:val="24"/>
        </w:rPr>
        <w:t xml:space="preserve">duże (&gt;70%)                       </w:t>
      </w:r>
      <w:r w:rsidRPr="00101652">
        <w:rPr>
          <w:rFonts w:ascii="Century Gothic" w:hAnsi="Century Gothic"/>
          <w:i/>
          <w:sz w:val="24"/>
          <w:szCs w:val="24"/>
        </w:rPr>
        <w:tab/>
      </w:r>
      <w:r w:rsidRPr="00101652">
        <w:rPr>
          <w:rFonts w:ascii="Century Gothic" w:hAnsi="Century Gothic"/>
          <w:sz w:val="24"/>
          <w:szCs w:val="24"/>
        </w:rPr>
        <w:t xml:space="preserve">[ ] </w:t>
      </w:r>
      <w:r w:rsidRPr="00101652">
        <w:rPr>
          <w:rFonts w:ascii="Century Gothic" w:hAnsi="Century Gothic"/>
          <w:i/>
          <w:sz w:val="24"/>
          <w:szCs w:val="24"/>
        </w:rPr>
        <w:t xml:space="preserve">średnie (50-70%)                   </w:t>
      </w:r>
      <w:r w:rsidRPr="00101652">
        <w:rPr>
          <w:rFonts w:ascii="Century Gothic" w:hAnsi="Century Gothic"/>
          <w:i/>
          <w:sz w:val="24"/>
          <w:szCs w:val="24"/>
        </w:rPr>
        <w:tab/>
      </w:r>
      <w:r w:rsidRPr="00101652">
        <w:rPr>
          <w:rFonts w:ascii="Century Gothic" w:hAnsi="Century Gothic"/>
          <w:sz w:val="24"/>
          <w:szCs w:val="24"/>
        </w:rPr>
        <w:t>[ ] małe (&lt; 50%)</w:t>
      </w:r>
    </w:p>
    <w:p w:rsidR="00101652" w:rsidRDefault="00101652" w:rsidP="00735429">
      <w:pPr>
        <w:ind w:left="-700"/>
        <w:jc w:val="both"/>
        <w:rPr>
          <w:rFonts w:ascii="Century Gothic" w:hAnsi="Century Gothic"/>
          <w:sz w:val="24"/>
          <w:szCs w:val="24"/>
        </w:rPr>
      </w:pPr>
    </w:p>
    <w:p w:rsidR="00030863" w:rsidRPr="00030863" w:rsidRDefault="00030863" w:rsidP="00030863">
      <w:pPr>
        <w:ind w:left="-700"/>
        <w:jc w:val="both"/>
        <w:rPr>
          <w:rFonts w:ascii="Century Gothic" w:hAnsi="Century Gothic"/>
          <w:sz w:val="24"/>
          <w:szCs w:val="24"/>
        </w:rPr>
      </w:pPr>
      <w:r w:rsidRPr="00030863">
        <w:rPr>
          <w:rFonts w:ascii="Century Gothic" w:hAnsi="Century Gothic"/>
          <w:b/>
          <w:sz w:val="24"/>
          <w:szCs w:val="24"/>
        </w:rPr>
        <w:t>5. RYZYKO ZWIĄZANE Z ZABIEGIEM WEWNĄTRZNACZYNIOWYM (BEZPIECZEŃSTWO)</w:t>
      </w:r>
    </w:p>
    <w:p w:rsidR="00030863" w:rsidRPr="00030863" w:rsidRDefault="00030863" w:rsidP="00030863">
      <w:pPr>
        <w:ind w:left="-709"/>
        <w:jc w:val="both"/>
        <w:rPr>
          <w:rFonts w:ascii="Century Gothic" w:hAnsi="Century Gothic"/>
          <w:sz w:val="24"/>
          <w:szCs w:val="24"/>
        </w:rPr>
      </w:pPr>
      <w:bookmarkStart w:id="2" w:name="_Hlk195964704"/>
      <w:bookmarkStart w:id="3" w:name="_Hlk194945149"/>
      <w:r w:rsidRPr="00030863">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030863">
        <w:rPr>
          <w:rFonts w:ascii="Century Gothic" w:hAnsi="Century Gothic"/>
          <w:b/>
          <w:bCs/>
          <w:sz w:val="24"/>
          <w:szCs w:val="24"/>
        </w:rPr>
        <w:t>(a)</w:t>
      </w:r>
      <w:r w:rsidRPr="00030863">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030863">
        <w:rPr>
          <w:rFonts w:ascii="Century Gothic" w:hAnsi="Century Gothic"/>
          <w:sz w:val="24"/>
          <w:szCs w:val="24"/>
        </w:rPr>
        <w:t>Capriniego</w:t>
      </w:r>
      <w:proofErr w:type="spellEnd"/>
      <w:r w:rsidRPr="00030863">
        <w:rPr>
          <w:rFonts w:ascii="Century Gothic" w:hAnsi="Century Gothic"/>
          <w:sz w:val="24"/>
          <w:szCs w:val="24"/>
        </w:rPr>
        <w:t xml:space="preserve">, niedożywienia- 30%, upadku); </w:t>
      </w:r>
      <w:r w:rsidRPr="00030863">
        <w:rPr>
          <w:rFonts w:ascii="Century Gothic" w:hAnsi="Century Gothic"/>
          <w:b/>
          <w:bCs/>
          <w:sz w:val="24"/>
          <w:szCs w:val="24"/>
        </w:rPr>
        <w:t>(b)</w:t>
      </w:r>
      <w:r w:rsidRPr="00030863">
        <w:rPr>
          <w:rFonts w:ascii="Century Gothic" w:hAnsi="Century Gothic"/>
          <w:sz w:val="24"/>
          <w:szCs w:val="24"/>
        </w:rPr>
        <w:t xml:space="preserve"> osobniczego ryzyka pacjenta zależnego od jego stanu jego zdrowia, chorób przebytych i współistniejących, zaawansowania choroby, wieku, odżywienia (ocenianych np. w skali POSSUM lub Goldmanna); </w:t>
      </w:r>
      <w:r w:rsidRPr="00030863">
        <w:rPr>
          <w:rFonts w:ascii="Century Gothic" w:hAnsi="Century Gothic"/>
          <w:b/>
          <w:bCs/>
          <w:sz w:val="24"/>
          <w:szCs w:val="24"/>
        </w:rPr>
        <w:t>(c)</w:t>
      </w:r>
      <w:r w:rsidRPr="00030863">
        <w:rPr>
          <w:rFonts w:ascii="Century Gothic" w:hAnsi="Century Gothic"/>
          <w:sz w:val="24"/>
          <w:szCs w:val="24"/>
        </w:rPr>
        <w:t xml:space="preserve"> znieczulenia (skala ASA); </w:t>
      </w:r>
      <w:r w:rsidRPr="00030863">
        <w:rPr>
          <w:rFonts w:ascii="Century Gothic" w:hAnsi="Century Gothic"/>
          <w:b/>
          <w:bCs/>
          <w:sz w:val="24"/>
          <w:szCs w:val="24"/>
        </w:rPr>
        <w:t>(d)</w:t>
      </w:r>
      <w:r w:rsidRPr="00030863">
        <w:rPr>
          <w:rFonts w:ascii="Century Gothic" w:hAnsi="Century Gothic"/>
          <w:sz w:val="24"/>
          <w:szCs w:val="24"/>
        </w:rPr>
        <w:t xml:space="preserve"> ryzyka związanego z samą procedurą zabiegową, determinowanego przez tryb zabiegu (nagły, pilny, planowy przyspieszony, planowy), typ (operacja/ reoperacja), miejsce dostępu naczyniowego (większe w przypadku dostępów niestandardowych, </w:t>
      </w:r>
      <w:r w:rsidRPr="00030863">
        <w:rPr>
          <w:rFonts w:ascii="Century Gothic" w:hAnsi="Century Gothic"/>
          <w:sz w:val="24"/>
          <w:szCs w:val="24"/>
        </w:rPr>
        <w:lastRenderedPageBreak/>
        <w:t xml:space="preserve">np. pachowych, ramiennych) i średnicy (obwodu) naczynia dostępowego, wystąpienia ewentualnych powikłań (np. perforacja naczynia z krwotokiem, zakrzepica naczynia, rozwarstwienie, zatorowość obwodowa) oraz rodzaju samej operacji (średnio 1-5% ryzyko zgonu i incydentu sercowo- naczyniowego dla każdej operacji wewnątrznaczyniowej + ryzyko powikłań niezakończonych zgonem przedstawionych poniżej); </w:t>
      </w:r>
      <w:r w:rsidRPr="00030863">
        <w:rPr>
          <w:rFonts w:ascii="Century Gothic" w:hAnsi="Century Gothic"/>
          <w:b/>
          <w:bCs/>
          <w:sz w:val="24"/>
          <w:szCs w:val="24"/>
        </w:rPr>
        <w:t>(e)</w:t>
      </w:r>
      <w:r w:rsidRPr="00030863">
        <w:rPr>
          <w:rFonts w:ascii="Century Gothic" w:hAnsi="Century Gothic"/>
          <w:sz w:val="24"/>
          <w:szCs w:val="24"/>
        </w:rPr>
        <w:t xml:space="preserve"> przebiegu okresu pooperacyjnego (ryzyko wystąpienia majaczenia [delirium], zakażenia miejsca operowanego, krwawienia i zakrzepicy żylnej, przestrzegania zaleceń unieruchomienia, samodzielnego usuwania koszulki naczyniowej), a nawet </w:t>
      </w:r>
      <w:r w:rsidRPr="00030863">
        <w:rPr>
          <w:rFonts w:ascii="Century Gothic" w:hAnsi="Century Gothic"/>
          <w:b/>
          <w:bCs/>
          <w:sz w:val="24"/>
          <w:szCs w:val="24"/>
        </w:rPr>
        <w:t>(f)</w:t>
      </w:r>
      <w:r w:rsidRPr="00030863">
        <w:rPr>
          <w:rFonts w:ascii="Century Gothic" w:hAnsi="Century Gothic"/>
          <w:sz w:val="24"/>
          <w:szCs w:val="24"/>
        </w:rPr>
        <w:t xml:space="preserve"> pory roku (infekcje okresu jesienno- zimowego, wysokie temperatury latem, wahania ciśnienia atmosferycznego, burze) i </w:t>
      </w:r>
      <w:r w:rsidRPr="00030863">
        <w:rPr>
          <w:rFonts w:ascii="Century Gothic" w:hAnsi="Century Gothic"/>
          <w:b/>
          <w:bCs/>
          <w:sz w:val="24"/>
          <w:szCs w:val="24"/>
        </w:rPr>
        <w:t>(g)</w:t>
      </w:r>
      <w:r w:rsidRPr="00030863">
        <w:rPr>
          <w:rFonts w:ascii="Century Gothic" w:hAnsi="Century Gothic"/>
          <w:sz w:val="24"/>
          <w:szCs w:val="24"/>
        </w:rPr>
        <w:t xml:space="preserve"> niemożliwych do przewidzenia czynników zewnętrznych (np. epidemia, pandemia, klęski żywiołowe, wojna, konieczność wykonania pilnego zabiegu u innego pacjenta, wada produkcyjna użytego urządzenia)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krwi i miejsca operowanego, zawał serca, udar i zgon. </w:t>
      </w:r>
      <w:bookmarkEnd w:id="2"/>
      <w:r w:rsidRPr="00030863">
        <w:rPr>
          <w:rFonts w:ascii="Century Gothic" w:hAnsi="Century Gothic"/>
          <w:sz w:val="24"/>
          <w:szCs w:val="24"/>
        </w:rPr>
        <w:t xml:space="preserve">Śmiertelność okołooperacyjna nie powinna przekraczać 1-5%, Ryzyko jest zawsze wyższe w przypadku nagłych lub pilnych wskazań do zabiegu (ostre niedokrwienie), oraz w przypadku wystąpienia powikłań. </w:t>
      </w:r>
    </w:p>
    <w:bookmarkEnd w:id="3"/>
    <w:p w:rsidR="00030863" w:rsidRPr="00030863" w:rsidRDefault="00030863" w:rsidP="00030863">
      <w:pPr>
        <w:ind w:left="-700"/>
        <w:jc w:val="both"/>
        <w:rPr>
          <w:rFonts w:ascii="Century Gothic" w:hAnsi="Century Gothic"/>
          <w:sz w:val="24"/>
          <w:szCs w:val="24"/>
        </w:rPr>
      </w:pPr>
      <w:r w:rsidRPr="00030863">
        <w:rPr>
          <w:rFonts w:ascii="Century Gothic" w:hAnsi="Century Gothic"/>
          <w:sz w:val="24"/>
          <w:szCs w:val="24"/>
        </w:rPr>
        <w:t xml:space="preserve">Ryzyko </w:t>
      </w:r>
      <w:r w:rsidRPr="00030863">
        <w:rPr>
          <w:rFonts w:ascii="Century Gothic" w:hAnsi="Century Gothic"/>
          <w:b/>
          <w:bCs/>
          <w:sz w:val="24"/>
          <w:szCs w:val="24"/>
          <w:u w:val="single"/>
        </w:rPr>
        <w:t>powikłań zależnych od procedury</w:t>
      </w:r>
      <w:r w:rsidRPr="00030863">
        <w:rPr>
          <w:rFonts w:ascii="Century Gothic" w:hAnsi="Century Gothic"/>
          <w:sz w:val="24"/>
          <w:szCs w:val="24"/>
        </w:rPr>
        <w:t xml:space="preserve"> wewnątrznaczyniowej rewaskularyzacji kończyny obejmuje: 1-5% ryzyko zgonu i incydentu sercowo- naczyniowego), wystąpienie zaburzeń rytmu serca, przejściowy ból w okolicy rozprężania balonu, perforację naczynia i krwotok (0,3-2%), rozwarstwienie naczynia (0.9-8%), zatorowość obwodową (10-20%, zależnie od zastosowanego urządzenia, typu blaszki miażdżycowej i/lub wieku skrzepliny). Ryzyko powikłań może być wyższe w przypadku niestandardowych lub kilku dostępów naczyniowych oraz w przypadku konieczności dodatkowego zastosowania leku </w:t>
      </w:r>
      <w:proofErr w:type="spellStart"/>
      <w:r w:rsidRPr="00030863">
        <w:rPr>
          <w:rFonts w:ascii="Century Gothic" w:hAnsi="Century Gothic"/>
          <w:sz w:val="24"/>
          <w:szCs w:val="24"/>
        </w:rPr>
        <w:t>trombolitycznego</w:t>
      </w:r>
      <w:proofErr w:type="spellEnd"/>
      <w:r w:rsidRPr="00030863">
        <w:rPr>
          <w:rFonts w:ascii="Century Gothic" w:hAnsi="Century Gothic"/>
          <w:sz w:val="24"/>
          <w:szCs w:val="24"/>
        </w:rPr>
        <w:t xml:space="preserve"> (wzrasta &gt; 5%). </w:t>
      </w:r>
    </w:p>
    <w:p w:rsidR="00030863" w:rsidRPr="00030863" w:rsidRDefault="00030863" w:rsidP="00030863">
      <w:pPr>
        <w:ind w:left="-700"/>
        <w:jc w:val="both"/>
        <w:rPr>
          <w:rFonts w:ascii="Century Gothic" w:hAnsi="Century Gothic"/>
          <w:sz w:val="24"/>
          <w:szCs w:val="24"/>
        </w:rPr>
      </w:pPr>
      <w:r w:rsidRPr="00030863">
        <w:rPr>
          <w:rFonts w:ascii="Century Gothic" w:hAnsi="Century Gothic"/>
          <w:b/>
          <w:sz w:val="24"/>
          <w:szCs w:val="24"/>
        </w:rPr>
        <w:t>Ciężkie powikłania związane z zabiegiem wewnątrznaczyniowym</w:t>
      </w:r>
      <w:r w:rsidRPr="00030863">
        <w:rPr>
          <w:rFonts w:ascii="Century Gothic" w:hAnsi="Century Gothic"/>
          <w:sz w:val="24"/>
          <w:szCs w:val="24"/>
        </w:rPr>
        <w:t xml:space="preserve"> występują bardzo rzadko, ale są to zdarzenia, które mogą być przyczyną bezpośredniego zagrożenia życia. Do najpoważniejszych należą:</w:t>
      </w:r>
    </w:p>
    <w:p w:rsidR="00030863" w:rsidRPr="00030863" w:rsidRDefault="00030863" w:rsidP="00030863">
      <w:pPr>
        <w:ind w:left="-426" w:hanging="283"/>
        <w:jc w:val="both"/>
        <w:rPr>
          <w:rFonts w:ascii="Century Gothic" w:hAnsi="Century Gothic"/>
          <w:sz w:val="24"/>
          <w:szCs w:val="24"/>
        </w:rPr>
      </w:pPr>
      <w:r w:rsidRPr="00030863">
        <w:rPr>
          <w:rFonts w:ascii="Century Gothic" w:hAnsi="Century Gothic"/>
          <w:bCs/>
          <w:sz w:val="24"/>
          <w:szCs w:val="24"/>
        </w:rPr>
        <w:t xml:space="preserve">- uszkodzenie naczynia krwionośnego w miejscu wkłucia (najczęstsze) z powstaniem krwiaka (zasinienia), „krwiaka tętniącego” lub tętniaka (ryzyko utrzymuje się do 2 tygodni po zabiegu, gdy nie przestrzega się zaleceń lekarza, i np. przeciąża kończynę, ale zdarzały się pęknięcia naczynia nawet po upływie miesiąca), powikłanie to może wymagać albo dodatkowego ucisku, albo wstrzyknięcia kleju tkankowego do jamy tętniaka, albo zabiegu operacyjnego; </w:t>
      </w:r>
      <w:r w:rsidRPr="00030863">
        <w:rPr>
          <w:rFonts w:ascii="Century Gothic" w:hAnsi="Century Gothic"/>
          <w:sz w:val="24"/>
          <w:szCs w:val="24"/>
        </w:rPr>
        <w:t>Krwiak tętniący/ tętniak rzekomy jest najczęstszym powikłaniem zabiegów wewnątrznaczyniowych. P</w:t>
      </w:r>
      <w:r w:rsidRPr="00030863">
        <w:rPr>
          <w:rFonts w:ascii="Century Gothic" w:hAnsi="Century Gothic"/>
          <w:bCs/>
          <w:sz w:val="24"/>
          <w:szCs w:val="24"/>
        </w:rPr>
        <w:t xml:space="preserve">owikłanie to występuje w przypadku co najmniej w 1% niezabiegowych nakłuć </w:t>
      </w:r>
      <w:r w:rsidRPr="00030863">
        <w:rPr>
          <w:rFonts w:ascii="Century Gothic" w:hAnsi="Century Gothic"/>
          <w:bCs/>
          <w:sz w:val="24"/>
          <w:szCs w:val="24"/>
        </w:rPr>
        <w:lastRenderedPageBreak/>
        <w:t>tętnicy udowej lub ramiennej, a w przypadku zabiegów interwencyjnych, co wiąże się z większym profilem dostępu, nawet do 5,5%.</w:t>
      </w:r>
      <w:r w:rsidRPr="00030863">
        <w:rPr>
          <w:rFonts w:ascii="Century Gothic" w:hAnsi="Century Gothic"/>
          <w:sz w:val="24"/>
          <w:szCs w:val="24"/>
        </w:rPr>
        <w:t xml:space="preserve"> </w:t>
      </w:r>
      <w:r w:rsidRPr="00030863">
        <w:rPr>
          <w:rFonts w:ascii="Century Gothic" w:hAnsi="Century Gothic"/>
          <w:sz w:val="24"/>
          <w:szCs w:val="24"/>
          <w:u w:val="single"/>
        </w:rPr>
        <w:t>Ryzyko to jest większe</w:t>
      </w:r>
      <w:r w:rsidRPr="00030863">
        <w:rPr>
          <w:rFonts w:ascii="Century Gothic" w:hAnsi="Century Gothic"/>
          <w:sz w:val="24"/>
          <w:szCs w:val="24"/>
        </w:rPr>
        <w:t xml:space="preserve"> w przypadku dostępów ramiennych/ pachowych lub obwodowych (dół podkolanowy, stopa, dół łokciowy), dostępów o większym profilu obwodu </w:t>
      </w:r>
      <w:proofErr w:type="spellStart"/>
      <w:r w:rsidRPr="00030863">
        <w:rPr>
          <w:rFonts w:ascii="Century Gothic" w:hAnsi="Century Gothic"/>
          <w:sz w:val="24"/>
          <w:szCs w:val="24"/>
        </w:rPr>
        <w:t>introduktora</w:t>
      </w:r>
      <w:proofErr w:type="spellEnd"/>
      <w:r w:rsidRPr="00030863">
        <w:rPr>
          <w:rFonts w:ascii="Century Gothic" w:hAnsi="Century Gothic"/>
          <w:sz w:val="24"/>
          <w:szCs w:val="24"/>
        </w:rPr>
        <w:t xml:space="preserve"> (określanego skrótem F), konieczności wykonania kilku nakłuć naczynia lub podawania dodatkowych leków (</w:t>
      </w:r>
      <w:proofErr w:type="spellStart"/>
      <w:r w:rsidRPr="00030863">
        <w:rPr>
          <w:rFonts w:ascii="Century Gothic" w:hAnsi="Century Gothic"/>
          <w:sz w:val="24"/>
          <w:szCs w:val="24"/>
        </w:rPr>
        <w:t>tromboliza</w:t>
      </w:r>
      <w:proofErr w:type="spellEnd"/>
      <w:r w:rsidRPr="00030863">
        <w:rPr>
          <w:rFonts w:ascii="Century Gothic" w:hAnsi="Century Gothic"/>
          <w:sz w:val="24"/>
          <w:szCs w:val="24"/>
        </w:rPr>
        <w:t xml:space="preserve">, podwójna, potrójna terapia przeciwzakrzepowa). Zaopatrzenie uszkodzenia miejsca dostępu naczyniowego wymaga dodatkowych procedur (np. przedłużony ucisk, </w:t>
      </w:r>
      <w:proofErr w:type="spellStart"/>
      <w:r w:rsidRPr="00030863">
        <w:rPr>
          <w:rFonts w:ascii="Century Gothic" w:hAnsi="Century Gothic"/>
          <w:sz w:val="24"/>
          <w:szCs w:val="24"/>
        </w:rPr>
        <w:t>ostrzyknięcie</w:t>
      </w:r>
      <w:proofErr w:type="spellEnd"/>
      <w:r w:rsidRPr="00030863">
        <w:rPr>
          <w:rFonts w:ascii="Century Gothic" w:hAnsi="Century Gothic"/>
          <w:sz w:val="24"/>
          <w:szCs w:val="24"/>
        </w:rPr>
        <w:t xml:space="preserve"> klejem, zabieg chirurgiczny), gdyż powstały krwiak może powodować ucisk na narządy sąsiednie, w tym naczynia żylne i tętnicze (zespół ciasnoty </w:t>
      </w:r>
      <w:proofErr w:type="spellStart"/>
      <w:r w:rsidRPr="00030863">
        <w:rPr>
          <w:rFonts w:ascii="Century Gothic" w:hAnsi="Century Gothic"/>
          <w:sz w:val="24"/>
          <w:szCs w:val="24"/>
        </w:rPr>
        <w:t>śródpowięziowej</w:t>
      </w:r>
      <w:proofErr w:type="spellEnd"/>
      <w:r w:rsidRPr="00030863">
        <w:rPr>
          <w:rFonts w:ascii="Century Gothic" w:hAnsi="Century Gothic"/>
          <w:sz w:val="24"/>
          <w:szCs w:val="24"/>
        </w:rPr>
        <w:t>) i/lub sploty nerwowe, powodując przejściowe lub trwałe niedowłady, porażenia kończyny „dostępowej”; czasem nawet zabieg chirurgiczny nie jest w stanie przywrócić sprawności kończyny.</w:t>
      </w:r>
    </w:p>
    <w:p w:rsidR="00030863" w:rsidRPr="00030863" w:rsidRDefault="00030863" w:rsidP="00030863">
      <w:pPr>
        <w:ind w:left="-426" w:hanging="274"/>
        <w:jc w:val="both"/>
        <w:rPr>
          <w:rFonts w:ascii="Century Gothic" w:hAnsi="Century Gothic"/>
          <w:sz w:val="24"/>
          <w:szCs w:val="24"/>
        </w:rPr>
      </w:pPr>
      <w:r w:rsidRPr="00030863">
        <w:rPr>
          <w:rFonts w:ascii="Century Gothic" w:hAnsi="Century Gothic"/>
          <w:sz w:val="24"/>
          <w:szCs w:val="24"/>
        </w:rPr>
        <w:t xml:space="preserve">- zakrzepica, rozwarstwienie tętnicy dostępowej, zator, ostra niedrożność naczynia, spowolnienie przepływu (ang. slow </w:t>
      </w:r>
      <w:proofErr w:type="spellStart"/>
      <w:r w:rsidRPr="00030863">
        <w:rPr>
          <w:rFonts w:ascii="Century Gothic" w:hAnsi="Century Gothic"/>
          <w:sz w:val="24"/>
          <w:szCs w:val="24"/>
        </w:rPr>
        <w:t>flow</w:t>
      </w:r>
      <w:proofErr w:type="spellEnd"/>
      <w:r w:rsidRPr="00030863">
        <w:rPr>
          <w:rFonts w:ascii="Century Gothic" w:hAnsi="Century Gothic"/>
          <w:sz w:val="24"/>
          <w:szCs w:val="24"/>
        </w:rPr>
        <w:t xml:space="preserve">) powodujące ostre niedokrwienie kończyny; </w:t>
      </w:r>
    </w:p>
    <w:p w:rsidR="00030863" w:rsidRPr="00030863" w:rsidRDefault="00030863" w:rsidP="00030863">
      <w:pPr>
        <w:ind w:left="-426" w:hanging="283"/>
        <w:jc w:val="both"/>
        <w:rPr>
          <w:rFonts w:ascii="Century Gothic" w:hAnsi="Century Gothic"/>
          <w:bCs/>
          <w:sz w:val="24"/>
          <w:szCs w:val="24"/>
        </w:rPr>
      </w:pPr>
      <w:r w:rsidRPr="00030863">
        <w:rPr>
          <w:rFonts w:ascii="Century Gothic" w:hAnsi="Century Gothic"/>
          <w:bCs/>
          <w:sz w:val="24"/>
          <w:szCs w:val="24"/>
        </w:rPr>
        <w:t>- pęknięcie docelowej (leczonej) tętnicy lub rozwarstwienie jej ściany w miejscu przechodzenia prowadnikiem, cewnikiem lub stosowania leczenia miejscowego (</w:t>
      </w:r>
      <w:proofErr w:type="spellStart"/>
      <w:r w:rsidRPr="00030863">
        <w:rPr>
          <w:rFonts w:ascii="Century Gothic" w:hAnsi="Century Gothic"/>
          <w:bCs/>
          <w:sz w:val="24"/>
          <w:szCs w:val="24"/>
        </w:rPr>
        <w:t>angioplastyka</w:t>
      </w:r>
      <w:proofErr w:type="spellEnd"/>
      <w:r w:rsidRPr="00030863">
        <w:rPr>
          <w:rFonts w:ascii="Century Gothic" w:hAnsi="Century Gothic"/>
          <w:bCs/>
          <w:sz w:val="24"/>
          <w:szCs w:val="24"/>
        </w:rPr>
        <w:t xml:space="preserve">, szczególnie balonem tnącym lub wysokociśnieniowym, </w:t>
      </w:r>
      <w:proofErr w:type="spellStart"/>
      <w:r w:rsidRPr="00030863">
        <w:rPr>
          <w:rFonts w:ascii="Century Gothic" w:hAnsi="Century Gothic"/>
          <w:bCs/>
          <w:sz w:val="24"/>
          <w:szCs w:val="24"/>
        </w:rPr>
        <w:t>aterektomia</w:t>
      </w:r>
      <w:proofErr w:type="spellEnd"/>
      <w:r w:rsidRPr="00030863">
        <w:rPr>
          <w:rFonts w:ascii="Century Gothic" w:hAnsi="Century Gothic"/>
          <w:bCs/>
          <w:sz w:val="24"/>
          <w:szCs w:val="24"/>
        </w:rPr>
        <w:t xml:space="preserve">, </w:t>
      </w:r>
      <w:proofErr w:type="spellStart"/>
      <w:r w:rsidRPr="00030863">
        <w:rPr>
          <w:rFonts w:ascii="Century Gothic" w:hAnsi="Century Gothic"/>
          <w:bCs/>
          <w:sz w:val="24"/>
          <w:szCs w:val="24"/>
        </w:rPr>
        <w:t>trombektomia</w:t>
      </w:r>
      <w:proofErr w:type="spellEnd"/>
      <w:r w:rsidRPr="00030863">
        <w:rPr>
          <w:rFonts w:ascii="Century Gothic" w:hAnsi="Century Gothic"/>
          <w:bCs/>
          <w:sz w:val="24"/>
          <w:szCs w:val="24"/>
        </w:rPr>
        <w:t xml:space="preserve">) prowadzące do krwotoków, zatorów, zakrzepów, rozwarstwienia ściany naczynia- powikłanie to można zabezpieczyć </w:t>
      </w:r>
      <w:proofErr w:type="spellStart"/>
      <w:r w:rsidRPr="00030863">
        <w:rPr>
          <w:rFonts w:ascii="Century Gothic" w:hAnsi="Century Gothic"/>
          <w:bCs/>
          <w:sz w:val="24"/>
          <w:szCs w:val="24"/>
        </w:rPr>
        <w:t>stentem</w:t>
      </w:r>
      <w:proofErr w:type="spellEnd"/>
      <w:r w:rsidRPr="00030863">
        <w:rPr>
          <w:rFonts w:ascii="Century Gothic" w:hAnsi="Century Gothic"/>
          <w:bCs/>
          <w:sz w:val="24"/>
          <w:szCs w:val="24"/>
        </w:rPr>
        <w:t xml:space="preserve"> lub tzw. „</w:t>
      </w:r>
      <w:proofErr w:type="spellStart"/>
      <w:r w:rsidRPr="00030863">
        <w:rPr>
          <w:rFonts w:ascii="Century Gothic" w:hAnsi="Century Gothic"/>
          <w:bCs/>
          <w:sz w:val="24"/>
          <w:szCs w:val="24"/>
        </w:rPr>
        <w:t>stentem</w:t>
      </w:r>
      <w:proofErr w:type="spellEnd"/>
      <w:r w:rsidRPr="00030863">
        <w:rPr>
          <w:rFonts w:ascii="Century Gothic" w:hAnsi="Century Gothic"/>
          <w:bCs/>
          <w:sz w:val="24"/>
          <w:szCs w:val="24"/>
        </w:rPr>
        <w:t xml:space="preserve"> krytym”, czasem wymaga ucisku z zewnątrz lub zabiegu chirurgicznego; </w:t>
      </w:r>
    </w:p>
    <w:p w:rsidR="00030863" w:rsidRPr="00030863" w:rsidRDefault="00030863" w:rsidP="00030863">
      <w:pPr>
        <w:ind w:left="-426" w:hanging="283"/>
        <w:jc w:val="both"/>
        <w:rPr>
          <w:rFonts w:ascii="Century Gothic" w:hAnsi="Century Gothic"/>
          <w:sz w:val="24"/>
          <w:szCs w:val="24"/>
        </w:rPr>
      </w:pPr>
      <w:r w:rsidRPr="00030863">
        <w:rPr>
          <w:rFonts w:ascii="Century Gothic" w:hAnsi="Century Gothic"/>
          <w:bCs/>
          <w:sz w:val="24"/>
          <w:szCs w:val="24"/>
        </w:rPr>
        <w:t>- zatory obwodowe, gdy skrzeplina lub blaszka miażdżycowa, przez którą przechodzi się podczas zabiegu oderwie się i z prądem krwi zostanie porwana do naczyń położonych obwodowo; powikłanie to będzie wymagało kolejnych procedur mających na celu ich usunięcie lub rozpuszczenie zakrzepu (</w:t>
      </w:r>
      <w:proofErr w:type="spellStart"/>
      <w:r w:rsidRPr="00030863">
        <w:rPr>
          <w:rFonts w:ascii="Century Gothic" w:hAnsi="Century Gothic"/>
          <w:bCs/>
          <w:sz w:val="24"/>
          <w:szCs w:val="24"/>
        </w:rPr>
        <w:t>trombektomia</w:t>
      </w:r>
      <w:proofErr w:type="spellEnd"/>
      <w:r w:rsidRPr="00030863">
        <w:rPr>
          <w:rFonts w:ascii="Century Gothic" w:hAnsi="Century Gothic"/>
          <w:bCs/>
          <w:sz w:val="24"/>
          <w:szCs w:val="24"/>
        </w:rPr>
        <w:t xml:space="preserve"> wewnątrznaczyniowa lub chirurgiczna, </w:t>
      </w:r>
      <w:proofErr w:type="spellStart"/>
      <w:r w:rsidRPr="00030863">
        <w:rPr>
          <w:rFonts w:ascii="Century Gothic" w:hAnsi="Century Gothic"/>
          <w:bCs/>
          <w:sz w:val="24"/>
          <w:szCs w:val="24"/>
        </w:rPr>
        <w:t>tromboliza</w:t>
      </w:r>
      <w:proofErr w:type="spellEnd"/>
      <w:r w:rsidRPr="00030863">
        <w:rPr>
          <w:rFonts w:ascii="Century Gothic" w:hAnsi="Century Gothic"/>
          <w:bCs/>
          <w:sz w:val="24"/>
          <w:szCs w:val="24"/>
        </w:rPr>
        <w:t>); te dodatkowe procedury mogą wiązać się z dodatkowymi powikłaniami, mogą wydłużyć czas trwania zabiegu i liczbę koniecznych interwencji, co będzie wiązało się także z przedłużonym pobytem w szpitalu, powiązanych z ryzykiem kolejnych powikłań opisanych wyżej;</w:t>
      </w:r>
    </w:p>
    <w:p w:rsidR="00030863" w:rsidRPr="00030863" w:rsidRDefault="00030863" w:rsidP="00030863">
      <w:pPr>
        <w:ind w:left="-426" w:hanging="283"/>
        <w:jc w:val="both"/>
        <w:rPr>
          <w:rFonts w:ascii="Century Gothic" w:hAnsi="Century Gothic"/>
          <w:bCs/>
          <w:sz w:val="24"/>
          <w:szCs w:val="24"/>
        </w:rPr>
      </w:pPr>
      <w:r w:rsidRPr="00030863">
        <w:rPr>
          <w:rFonts w:ascii="Century Gothic" w:hAnsi="Century Gothic"/>
          <w:bCs/>
          <w:sz w:val="24"/>
          <w:szCs w:val="24"/>
        </w:rPr>
        <w:t xml:space="preserve">- ostre uszkodzenie nerek (u pacjenta z chorobą nerek lub cukrzycą). Nefropatia </w:t>
      </w:r>
      <w:proofErr w:type="spellStart"/>
      <w:r w:rsidRPr="00030863">
        <w:rPr>
          <w:rFonts w:ascii="Century Gothic" w:hAnsi="Century Gothic"/>
          <w:bCs/>
          <w:sz w:val="24"/>
          <w:szCs w:val="24"/>
        </w:rPr>
        <w:t>pokontrastowa</w:t>
      </w:r>
      <w:proofErr w:type="spellEnd"/>
      <w:r w:rsidRPr="00030863">
        <w:rPr>
          <w:rFonts w:ascii="Century Gothic" w:hAnsi="Century Gothic"/>
          <w:bCs/>
          <w:sz w:val="24"/>
          <w:szCs w:val="24"/>
        </w:rPr>
        <w:t xml:space="preserve"> (CIN) występuje u 1-4% pacjentów poddawanych interwencji wewnątrznaczyniowej i polega na przejściowym wzroście stężenia kreatyniny we krwi</w:t>
      </w:r>
      <w:r w:rsidRPr="00030863">
        <w:rPr>
          <w:rFonts w:ascii="Century Gothic" w:hAnsi="Century Gothic"/>
          <w:sz w:val="24"/>
          <w:szCs w:val="24"/>
        </w:rPr>
        <w:t xml:space="preserve">, który zwykle normalizuje się w ciągu 7 dni. Natomiast ryzyko poważnych efektów ubocznych, np. ewentualnej dializy, jest nikłe i wynosi ok. 0,07%. wystąpienie tego powikłania może wpływać na odległe ryzyko sercowo- naczyniowe pacjenta. </w:t>
      </w:r>
    </w:p>
    <w:p w:rsidR="00030863" w:rsidRPr="00030863" w:rsidRDefault="00030863" w:rsidP="00030863">
      <w:pPr>
        <w:ind w:left="-426" w:hanging="283"/>
        <w:jc w:val="both"/>
        <w:rPr>
          <w:rFonts w:ascii="Century Gothic" w:hAnsi="Century Gothic"/>
          <w:sz w:val="24"/>
          <w:szCs w:val="24"/>
        </w:rPr>
      </w:pPr>
      <w:r w:rsidRPr="00030863">
        <w:rPr>
          <w:rFonts w:ascii="Century Gothic" w:hAnsi="Century Gothic"/>
          <w:bCs/>
          <w:sz w:val="24"/>
          <w:szCs w:val="24"/>
        </w:rPr>
        <w:lastRenderedPageBreak/>
        <w:t>- ciężka reakcja alergiczna na środek kontrastowy prowadząca do niewydolności wielonarządowej</w:t>
      </w:r>
    </w:p>
    <w:p w:rsidR="00030863" w:rsidRDefault="00030863" w:rsidP="00030863">
      <w:pPr>
        <w:ind w:left="-426" w:hanging="283"/>
        <w:jc w:val="both"/>
        <w:rPr>
          <w:rFonts w:ascii="Century Gothic" w:hAnsi="Century Gothic"/>
          <w:bCs/>
          <w:sz w:val="24"/>
          <w:szCs w:val="24"/>
        </w:rPr>
      </w:pPr>
      <w:r w:rsidRPr="00030863">
        <w:rPr>
          <w:rFonts w:ascii="Century Gothic" w:hAnsi="Century Gothic"/>
          <w:bCs/>
          <w:sz w:val="24"/>
          <w:szCs w:val="24"/>
        </w:rPr>
        <w:t>- w skrajnych przypadkach – konieczności amputacji kończyny leczonej, ale także „dostępowej”, udar mózgu lub zawał serca, zgon.</w:t>
      </w:r>
    </w:p>
    <w:p w:rsidR="005F7EE5" w:rsidRPr="00030863" w:rsidRDefault="005F7EE5" w:rsidP="00030863">
      <w:pPr>
        <w:ind w:left="-426" w:hanging="283"/>
        <w:jc w:val="both"/>
        <w:rPr>
          <w:rFonts w:ascii="Century Gothic" w:hAnsi="Century Gothic"/>
          <w:sz w:val="24"/>
          <w:szCs w:val="24"/>
        </w:rPr>
      </w:pPr>
    </w:p>
    <w:p w:rsidR="0010050F" w:rsidRPr="005F7EE5" w:rsidRDefault="0010050F" w:rsidP="0010050F">
      <w:pPr>
        <w:ind w:left="-700"/>
        <w:jc w:val="both"/>
        <w:rPr>
          <w:rFonts w:ascii="Century Gothic" w:hAnsi="Century Gothic"/>
          <w:sz w:val="24"/>
          <w:szCs w:val="24"/>
        </w:rPr>
      </w:pPr>
      <w:r w:rsidRPr="005F7EE5">
        <w:rPr>
          <w:rFonts w:ascii="Century Gothic" w:hAnsi="Century Gothic"/>
          <w:b/>
          <w:sz w:val="24"/>
          <w:szCs w:val="24"/>
        </w:rPr>
        <w:t>Inne powikłania związane z zabiegiem wewnątrznaczyniowym (zależne od procedury)</w:t>
      </w:r>
      <w:r w:rsidRPr="005F7EE5">
        <w:rPr>
          <w:rFonts w:ascii="Century Gothic" w:hAnsi="Century Gothic"/>
          <w:sz w:val="24"/>
          <w:szCs w:val="24"/>
        </w:rPr>
        <w:t>:</w:t>
      </w:r>
    </w:p>
    <w:p w:rsidR="0010050F" w:rsidRPr="005F7EE5" w:rsidRDefault="0010050F" w:rsidP="0010050F">
      <w:pPr>
        <w:ind w:left="-567" w:hanging="133"/>
        <w:jc w:val="both"/>
        <w:rPr>
          <w:rFonts w:ascii="Century Gothic" w:hAnsi="Century Gothic"/>
          <w:sz w:val="24"/>
          <w:szCs w:val="24"/>
        </w:rPr>
      </w:pPr>
      <w:r w:rsidRPr="005F7EE5">
        <w:rPr>
          <w:rFonts w:ascii="Century Gothic" w:hAnsi="Century Gothic"/>
          <w:sz w:val="24"/>
          <w:szCs w:val="24"/>
        </w:rPr>
        <w:t>- ból, krwawienie lub zasinienie w miejscu nakłucia,</w:t>
      </w:r>
    </w:p>
    <w:p w:rsidR="0010050F" w:rsidRPr="005F7EE5" w:rsidRDefault="0010050F" w:rsidP="0010050F">
      <w:pPr>
        <w:ind w:left="-567" w:hanging="133"/>
        <w:jc w:val="both"/>
        <w:rPr>
          <w:rFonts w:ascii="Century Gothic" w:hAnsi="Century Gothic"/>
          <w:sz w:val="24"/>
          <w:szCs w:val="24"/>
        </w:rPr>
      </w:pPr>
      <w:r w:rsidRPr="005F7EE5">
        <w:rPr>
          <w:rFonts w:ascii="Century Gothic" w:hAnsi="Century Gothic"/>
          <w:sz w:val="24"/>
          <w:szCs w:val="24"/>
        </w:rPr>
        <w:t>- przejściowy ból lub dyskomfort w kończynie (np. podczas nakłucia, ucisku lub rozprężania balonu)</w:t>
      </w:r>
    </w:p>
    <w:p w:rsidR="0010050F" w:rsidRPr="005F7EE5" w:rsidRDefault="0010050F" w:rsidP="0010050F">
      <w:pPr>
        <w:ind w:left="-567" w:hanging="133"/>
        <w:jc w:val="both"/>
        <w:rPr>
          <w:rFonts w:ascii="Century Gothic" w:hAnsi="Century Gothic"/>
          <w:sz w:val="24"/>
          <w:szCs w:val="24"/>
        </w:rPr>
      </w:pPr>
      <w:r w:rsidRPr="005F7EE5">
        <w:rPr>
          <w:rFonts w:ascii="Century Gothic" w:hAnsi="Century Gothic"/>
          <w:sz w:val="24"/>
          <w:szCs w:val="24"/>
        </w:rPr>
        <w:t>- reakcje alergiczne na środek kontrastowy (np. świąd, wysypka, nudności),</w:t>
      </w:r>
    </w:p>
    <w:p w:rsidR="0010050F" w:rsidRPr="005F7EE5" w:rsidRDefault="0010050F" w:rsidP="0010050F">
      <w:pPr>
        <w:ind w:left="-567" w:hanging="133"/>
        <w:jc w:val="both"/>
        <w:rPr>
          <w:rFonts w:ascii="Century Gothic" w:hAnsi="Century Gothic"/>
          <w:sz w:val="24"/>
          <w:szCs w:val="24"/>
        </w:rPr>
      </w:pPr>
      <w:r w:rsidRPr="005F7EE5">
        <w:rPr>
          <w:rFonts w:ascii="Century Gothic" w:hAnsi="Century Gothic"/>
          <w:sz w:val="24"/>
          <w:szCs w:val="24"/>
        </w:rPr>
        <w:t xml:space="preserve">- nawrót dolegliwości wskutek zwężenia/ niedrożności „leczonego” naczynia krwionośnego w okresie po wypisaniu ze szpitala, tzw. </w:t>
      </w:r>
      <w:proofErr w:type="spellStart"/>
      <w:r w:rsidRPr="005F7EE5">
        <w:rPr>
          <w:rFonts w:ascii="Century Gothic" w:hAnsi="Century Gothic"/>
          <w:sz w:val="24"/>
          <w:szCs w:val="24"/>
        </w:rPr>
        <w:t>restenoza</w:t>
      </w:r>
      <w:proofErr w:type="spellEnd"/>
      <w:r w:rsidRPr="005F7EE5">
        <w:rPr>
          <w:rFonts w:ascii="Century Gothic" w:hAnsi="Century Gothic"/>
          <w:sz w:val="24"/>
          <w:szCs w:val="24"/>
        </w:rPr>
        <w:t xml:space="preserve">, która może wystąpić w różnym czasie po zabiegu (przeważnie z różną częstością zależnie od poziomu naczyniowego, na którym zabieg został wykonany, stanu naczyń poniżej i powyżej miejsca leczonego i metody zabiegu, w tym wykorzystania technologii uwalniających lek </w:t>
      </w:r>
      <w:proofErr w:type="spellStart"/>
      <w:r w:rsidRPr="005F7EE5">
        <w:rPr>
          <w:rFonts w:ascii="Century Gothic" w:hAnsi="Century Gothic"/>
          <w:sz w:val="24"/>
          <w:szCs w:val="24"/>
        </w:rPr>
        <w:t>antyproliferacyjny</w:t>
      </w:r>
      <w:proofErr w:type="spellEnd"/>
      <w:r w:rsidRPr="005F7EE5">
        <w:rPr>
          <w:rFonts w:ascii="Century Gothic" w:hAnsi="Century Gothic"/>
          <w:sz w:val="24"/>
          <w:szCs w:val="24"/>
        </w:rPr>
        <w:t xml:space="preserve">; największe ryzyko </w:t>
      </w:r>
      <w:proofErr w:type="spellStart"/>
      <w:r w:rsidRPr="005F7EE5">
        <w:rPr>
          <w:rFonts w:ascii="Century Gothic" w:hAnsi="Century Gothic"/>
          <w:sz w:val="24"/>
          <w:szCs w:val="24"/>
        </w:rPr>
        <w:t>restenozy</w:t>
      </w:r>
      <w:proofErr w:type="spellEnd"/>
      <w:r w:rsidRPr="005F7EE5">
        <w:rPr>
          <w:rFonts w:ascii="Century Gothic" w:hAnsi="Century Gothic"/>
          <w:sz w:val="24"/>
          <w:szCs w:val="24"/>
        </w:rPr>
        <w:t xml:space="preserve"> istnieje w pierwszym roku po zabiegu; </w:t>
      </w:r>
    </w:p>
    <w:p w:rsidR="0010050F" w:rsidRPr="005F7EE5" w:rsidRDefault="0010050F" w:rsidP="0010050F">
      <w:pPr>
        <w:ind w:left="-567" w:hanging="133"/>
        <w:jc w:val="both"/>
        <w:rPr>
          <w:rFonts w:ascii="Century Gothic" w:hAnsi="Century Gothic"/>
          <w:sz w:val="24"/>
          <w:szCs w:val="24"/>
        </w:rPr>
      </w:pPr>
      <w:r w:rsidRPr="005F7EE5">
        <w:rPr>
          <w:rFonts w:ascii="Century Gothic" w:hAnsi="Century Gothic"/>
          <w:sz w:val="24"/>
          <w:szCs w:val="24"/>
        </w:rPr>
        <w:t xml:space="preserve">- rozwój tętniaka (poszerzenia naczynia) z dala od miejsca nakłucia tętnicy; do tego powikłania dochodzi częściej, gdy podczas zabiegu wykorzystuje się akcesoria uwalniające lek </w:t>
      </w:r>
      <w:proofErr w:type="spellStart"/>
      <w:r w:rsidRPr="005F7EE5">
        <w:rPr>
          <w:rFonts w:ascii="Century Gothic" w:hAnsi="Century Gothic"/>
          <w:sz w:val="24"/>
          <w:szCs w:val="24"/>
        </w:rPr>
        <w:t>antyproliferacyjny</w:t>
      </w:r>
      <w:proofErr w:type="spellEnd"/>
      <w:r w:rsidRPr="005F7EE5">
        <w:rPr>
          <w:rFonts w:ascii="Century Gothic" w:hAnsi="Century Gothic"/>
          <w:sz w:val="24"/>
          <w:szCs w:val="24"/>
        </w:rPr>
        <w:t>, powodujące nacięcia ściany naczynia (balony tnące) lub usuwanie chorych tkanek z naczynia (</w:t>
      </w:r>
      <w:proofErr w:type="spellStart"/>
      <w:r w:rsidRPr="005F7EE5">
        <w:rPr>
          <w:rFonts w:ascii="Century Gothic" w:hAnsi="Century Gothic"/>
          <w:sz w:val="24"/>
          <w:szCs w:val="24"/>
        </w:rPr>
        <w:t>aterektomia</w:t>
      </w:r>
      <w:proofErr w:type="spellEnd"/>
      <w:r w:rsidRPr="005F7EE5">
        <w:rPr>
          <w:rFonts w:ascii="Century Gothic" w:hAnsi="Century Gothic"/>
          <w:sz w:val="24"/>
          <w:szCs w:val="24"/>
        </w:rPr>
        <w:t xml:space="preserve">) </w:t>
      </w:r>
    </w:p>
    <w:p w:rsidR="0010050F" w:rsidRDefault="0010050F" w:rsidP="0010050F">
      <w:pPr>
        <w:ind w:left="-567" w:hanging="133"/>
        <w:jc w:val="both"/>
      </w:pPr>
      <w:r w:rsidRPr="005F7EE5">
        <w:rPr>
          <w:rFonts w:ascii="Century Gothic" w:hAnsi="Century Gothic"/>
          <w:sz w:val="24"/>
          <w:szCs w:val="24"/>
        </w:rPr>
        <w:t xml:space="preserve">- ze stosowaniem balonów lub </w:t>
      </w:r>
      <w:proofErr w:type="spellStart"/>
      <w:r w:rsidRPr="005F7EE5">
        <w:rPr>
          <w:rFonts w:ascii="Century Gothic" w:hAnsi="Century Gothic"/>
          <w:sz w:val="24"/>
          <w:szCs w:val="24"/>
        </w:rPr>
        <w:t>stentów</w:t>
      </w:r>
      <w:proofErr w:type="spellEnd"/>
      <w:r w:rsidRPr="005F7EE5">
        <w:rPr>
          <w:rFonts w:ascii="Century Gothic" w:hAnsi="Century Gothic"/>
          <w:sz w:val="24"/>
          <w:szCs w:val="24"/>
        </w:rPr>
        <w:t xml:space="preserve"> uwalniających lek </w:t>
      </w:r>
      <w:proofErr w:type="spellStart"/>
      <w:r w:rsidRPr="005F7EE5">
        <w:rPr>
          <w:rFonts w:ascii="Century Gothic" w:hAnsi="Century Gothic"/>
          <w:sz w:val="24"/>
          <w:szCs w:val="24"/>
        </w:rPr>
        <w:t>antyproliferacyjny</w:t>
      </w:r>
      <w:proofErr w:type="spellEnd"/>
      <w:r w:rsidRPr="005F7EE5">
        <w:rPr>
          <w:rFonts w:ascii="Century Gothic" w:hAnsi="Century Gothic"/>
          <w:sz w:val="24"/>
          <w:szCs w:val="24"/>
        </w:rPr>
        <w:t xml:space="preserve"> (</w:t>
      </w:r>
      <w:proofErr w:type="spellStart"/>
      <w:r w:rsidRPr="005F7EE5">
        <w:rPr>
          <w:rFonts w:ascii="Century Gothic" w:hAnsi="Century Gothic"/>
          <w:sz w:val="24"/>
          <w:szCs w:val="24"/>
        </w:rPr>
        <w:t>paclitaxel</w:t>
      </w:r>
      <w:proofErr w:type="spellEnd"/>
      <w:r w:rsidRPr="005F7EE5">
        <w:rPr>
          <w:rFonts w:ascii="Century Gothic" w:hAnsi="Century Gothic"/>
          <w:sz w:val="24"/>
          <w:szCs w:val="24"/>
        </w:rPr>
        <w:t xml:space="preserve">, </w:t>
      </w:r>
      <w:proofErr w:type="spellStart"/>
      <w:r w:rsidRPr="005F7EE5">
        <w:rPr>
          <w:rFonts w:ascii="Century Gothic" w:hAnsi="Century Gothic"/>
          <w:sz w:val="24"/>
          <w:szCs w:val="24"/>
        </w:rPr>
        <w:t>sirolimus</w:t>
      </w:r>
      <w:proofErr w:type="spellEnd"/>
      <w:r w:rsidRPr="005F7EE5">
        <w:rPr>
          <w:rFonts w:ascii="Century Gothic" w:hAnsi="Century Gothic"/>
          <w:sz w:val="24"/>
          <w:szCs w:val="24"/>
        </w:rPr>
        <w:t xml:space="preserve">) wiążą się także dodatkowe powikłania związane z koniecznością dłuższego (do roku lub bezterminowo) stosowania dwóch leków przeciwpłytkowych (aspiryna, </w:t>
      </w:r>
      <w:proofErr w:type="spellStart"/>
      <w:r w:rsidRPr="005F7EE5">
        <w:rPr>
          <w:rFonts w:ascii="Century Gothic" w:hAnsi="Century Gothic"/>
          <w:sz w:val="24"/>
          <w:szCs w:val="24"/>
        </w:rPr>
        <w:t>klopidogrel</w:t>
      </w:r>
      <w:proofErr w:type="spellEnd"/>
      <w:r w:rsidRPr="005F7EE5">
        <w:rPr>
          <w:rFonts w:ascii="Century Gothic" w:hAnsi="Century Gothic"/>
          <w:sz w:val="24"/>
          <w:szCs w:val="24"/>
        </w:rPr>
        <w:t xml:space="preserve">) lub leków przeciwzakrzepowych powiązanego ze wzrostem ryzyka krwawień i możliwym skróceniem oczekiwanego czasu przeżycia. Producenci akcesoriów uwalniających leki </w:t>
      </w:r>
      <w:proofErr w:type="spellStart"/>
      <w:r w:rsidRPr="005F7EE5">
        <w:rPr>
          <w:rFonts w:ascii="Century Gothic" w:hAnsi="Century Gothic"/>
          <w:sz w:val="24"/>
          <w:szCs w:val="24"/>
        </w:rPr>
        <w:t>antyproliferacyjne</w:t>
      </w:r>
      <w:proofErr w:type="spellEnd"/>
      <w:r w:rsidRPr="005F7EE5">
        <w:rPr>
          <w:rFonts w:ascii="Century Gothic" w:hAnsi="Century Gothic"/>
          <w:sz w:val="24"/>
          <w:szCs w:val="24"/>
        </w:rPr>
        <w:t xml:space="preserve"> wskazują również na  potencjalne działanie teratogenne i </w:t>
      </w:r>
      <w:proofErr w:type="spellStart"/>
      <w:r w:rsidRPr="005F7EE5">
        <w:rPr>
          <w:rFonts w:ascii="Century Gothic" w:hAnsi="Century Gothic"/>
          <w:sz w:val="24"/>
          <w:szCs w:val="24"/>
        </w:rPr>
        <w:t>genotoksyczne</w:t>
      </w:r>
      <w:proofErr w:type="spellEnd"/>
      <w:r w:rsidRPr="005F7EE5">
        <w:rPr>
          <w:rFonts w:ascii="Century Gothic" w:hAnsi="Century Gothic"/>
          <w:sz w:val="24"/>
          <w:szCs w:val="24"/>
        </w:rPr>
        <w:t xml:space="preserve"> tych leków. Dlatego potencjalnie płodnym pacjentom leczonym wewnątrznaczyniowo z zastosowaniem balonów/ </w:t>
      </w:r>
      <w:proofErr w:type="spellStart"/>
      <w:r w:rsidRPr="005F7EE5">
        <w:rPr>
          <w:rFonts w:ascii="Century Gothic" w:hAnsi="Century Gothic"/>
          <w:sz w:val="24"/>
          <w:szCs w:val="24"/>
        </w:rPr>
        <w:t>stentów</w:t>
      </w:r>
      <w:proofErr w:type="spellEnd"/>
      <w:r w:rsidRPr="005F7EE5">
        <w:rPr>
          <w:rFonts w:ascii="Century Gothic" w:hAnsi="Century Gothic"/>
          <w:sz w:val="24"/>
          <w:szCs w:val="24"/>
        </w:rPr>
        <w:t xml:space="preserve"> uwalniających lek </w:t>
      </w:r>
      <w:proofErr w:type="spellStart"/>
      <w:r w:rsidRPr="005F7EE5">
        <w:rPr>
          <w:rFonts w:ascii="Century Gothic" w:hAnsi="Century Gothic"/>
          <w:sz w:val="24"/>
          <w:szCs w:val="24"/>
        </w:rPr>
        <w:t>antyproliferacyjny</w:t>
      </w:r>
      <w:proofErr w:type="spellEnd"/>
      <w:r w:rsidRPr="005F7EE5">
        <w:rPr>
          <w:rFonts w:ascii="Century Gothic" w:hAnsi="Century Gothic"/>
          <w:sz w:val="24"/>
          <w:szCs w:val="24"/>
        </w:rPr>
        <w:t xml:space="preserve"> przez okres 5 lat od zabiegu zalecają obowiązkowe stosowanie wysoce skutecznych metod antykoncepcji lub zobowiązanie do abstynencji od heteroseksualnych kontaktów seksualnych ze względu na ryzyko wad u płodu.</w:t>
      </w:r>
      <w:r w:rsidRPr="00B95136">
        <w:t xml:space="preserve"> </w:t>
      </w:r>
    </w:p>
    <w:p w:rsidR="005F7EE5" w:rsidRPr="00B95136" w:rsidRDefault="005F7EE5" w:rsidP="0010050F">
      <w:pPr>
        <w:ind w:left="-567" w:hanging="133"/>
        <w:jc w:val="both"/>
      </w:pPr>
    </w:p>
    <w:p w:rsidR="005F7EE5" w:rsidRPr="005F7EE5" w:rsidRDefault="005F7EE5" w:rsidP="005F7EE5">
      <w:pPr>
        <w:ind w:left="-700"/>
        <w:jc w:val="both"/>
        <w:rPr>
          <w:rFonts w:ascii="Century Gothic" w:hAnsi="Century Gothic"/>
          <w:sz w:val="24"/>
          <w:szCs w:val="24"/>
        </w:rPr>
      </w:pPr>
      <w:r w:rsidRPr="005F7EE5">
        <w:rPr>
          <w:rFonts w:ascii="Century Gothic" w:hAnsi="Century Gothic"/>
          <w:b/>
          <w:bCs/>
          <w:sz w:val="24"/>
          <w:szCs w:val="24"/>
        </w:rPr>
        <w:lastRenderedPageBreak/>
        <w:t>OSOBNICZE (INDYWIDUALNE) RYZYKO śmierci oraz powikłań związanych z zabiegiem</w:t>
      </w:r>
      <w:r w:rsidRPr="005F7EE5">
        <w:rPr>
          <w:rFonts w:ascii="Century Gothic" w:hAnsi="Century Gothic"/>
          <w:sz w:val="24"/>
          <w:szCs w:val="24"/>
        </w:rPr>
        <w:t>, które wyliczono na podstawie skali POSSUM, wynosi u Pana/Pani</w:t>
      </w:r>
    </w:p>
    <w:p w:rsidR="005F7EE5" w:rsidRPr="005F7EE5" w:rsidRDefault="005F7EE5" w:rsidP="005F7EE5">
      <w:pPr>
        <w:ind w:left="-700"/>
        <w:jc w:val="both"/>
        <w:rPr>
          <w:rFonts w:ascii="Century Gothic" w:hAnsi="Century Gothic"/>
          <w:sz w:val="24"/>
          <w:szCs w:val="24"/>
        </w:rPr>
      </w:pPr>
    </w:p>
    <w:p w:rsidR="005F7EE5" w:rsidRPr="005F7EE5" w:rsidRDefault="005F7EE5" w:rsidP="005F7EE5">
      <w:pPr>
        <w:ind w:left="-700"/>
        <w:jc w:val="both"/>
        <w:rPr>
          <w:rFonts w:ascii="Century Gothic" w:hAnsi="Century Gothic"/>
          <w:sz w:val="24"/>
          <w:szCs w:val="24"/>
        </w:rPr>
      </w:pPr>
      <w:r w:rsidRPr="005F7EE5">
        <w:rPr>
          <w:rFonts w:ascii="Century Gothic" w:hAnsi="Century Gothic"/>
          <w:sz w:val="24"/>
          <w:szCs w:val="24"/>
        </w:rPr>
        <w:t>Śmiertelność: ……….. Możliwość powikłań: …………</w:t>
      </w:r>
    </w:p>
    <w:p w:rsidR="005F7EE5" w:rsidRDefault="005F7EE5" w:rsidP="005F7EE5">
      <w:pPr>
        <w:ind w:left="-700"/>
        <w:jc w:val="both"/>
        <w:rPr>
          <w:rStyle w:val="citation-0"/>
        </w:rPr>
      </w:pPr>
    </w:p>
    <w:p w:rsidR="005F7EE5" w:rsidRPr="005F7EE5" w:rsidRDefault="005F7EE5" w:rsidP="005F7EE5">
      <w:pPr>
        <w:ind w:left="-700"/>
        <w:jc w:val="both"/>
        <w:rPr>
          <w:rStyle w:val="citation-0"/>
          <w:rFonts w:ascii="Century Gothic" w:hAnsi="Century Gothic"/>
          <w:b/>
          <w:bCs/>
          <w:sz w:val="24"/>
          <w:szCs w:val="24"/>
        </w:rPr>
      </w:pPr>
      <w:r w:rsidRPr="005F7EE5">
        <w:rPr>
          <w:rStyle w:val="citation-0"/>
          <w:rFonts w:ascii="Century Gothic" w:hAnsi="Century Gothic"/>
          <w:b/>
          <w:bCs/>
          <w:sz w:val="24"/>
          <w:szCs w:val="24"/>
        </w:rPr>
        <w:t>RYZYKO ZWIĄZANE ZE ZNIECZULENIEM</w:t>
      </w:r>
    </w:p>
    <w:p w:rsidR="005F7EE5" w:rsidRPr="005F7EE5" w:rsidRDefault="005F7EE5" w:rsidP="005F7EE5">
      <w:pPr>
        <w:ind w:left="-700"/>
        <w:jc w:val="both"/>
        <w:rPr>
          <w:rFonts w:ascii="Century Gothic" w:hAnsi="Century Gothic"/>
          <w:sz w:val="24"/>
          <w:szCs w:val="24"/>
        </w:rPr>
      </w:pPr>
      <w:r w:rsidRPr="005F7EE5">
        <w:rPr>
          <w:rStyle w:val="citation-0"/>
          <w:rFonts w:ascii="Century Gothic" w:hAnsi="Century Gothic"/>
          <w:sz w:val="24"/>
          <w:szCs w:val="24"/>
        </w:rPr>
        <w:t xml:space="preserve">Jak wspomniano, zabieg wewnątrznaczyniowy wykonuje się w znieczuleniu miejscowym (najczęściej </w:t>
      </w:r>
      <w:proofErr w:type="spellStart"/>
      <w:r w:rsidRPr="005F7EE5">
        <w:rPr>
          <w:rStyle w:val="citation-0"/>
          <w:rFonts w:ascii="Century Gothic" w:hAnsi="Century Gothic"/>
          <w:sz w:val="24"/>
          <w:szCs w:val="24"/>
        </w:rPr>
        <w:t>lidokainą</w:t>
      </w:r>
      <w:proofErr w:type="spellEnd"/>
      <w:r w:rsidRPr="005F7EE5">
        <w:rPr>
          <w:rStyle w:val="citation-0"/>
          <w:rFonts w:ascii="Century Gothic" w:hAnsi="Century Gothic"/>
          <w:sz w:val="24"/>
          <w:szCs w:val="24"/>
        </w:rPr>
        <w:t xml:space="preserve">). </w:t>
      </w:r>
      <w:proofErr w:type="spellStart"/>
      <w:r w:rsidRPr="005F7EE5">
        <w:rPr>
          <w:rStyle w:val="citation-1"/>
          <w:rFonts w:ascii="Century Gothic" w:hAnsi="Century Gothic"/>
          <w:sz w:val="24"/>
          <w:szCs w:val="24"/>
        </w:rPr>
        <w:t>Lidokaina</w:t>
      </w:r>
      <w:proofErr w:type="spellEnd"/>
      <w:r w:rsidRPr="005F7EE5">
        <w:rPr>
          <w:rStyle w:val="citation-1"/>
          <w:rFonts w:ascii="Century Gothic" w:hAnsi="Century Gothic"/>
          <w:sz w:val="24"/>
          <w:szCs w:val="24"/>
        </w:rPr>
        <w:t xml:space="preserve"> działa poprzez blokowanie przewodzenia impulsów nerwowych, co uniemożliwia odczuwanie bólu w miejscu podania i</w:t>
      </w:r>
      <w:r w:rsidRPr="005F7EE5">
        <w:rPr>
          <w:rStyle w:val="citation-0"/>
          <w:rFonts w:ascii="Century Gothic" w:hAnsi="Century Gothic"/>
          <w:sz w:val="24"/>
          <w:szCs w:val="24"/>
        </w:rPr>
        <w:t xml:space="preserve"> jest powszechnie stosowana w celu złagodzenia bólu podczas zabiegów</w:t>
      </w:r>
      <w:r w:rsidRPr="005F7EE5">
        <w:rPr>
          <w:rStyle w:val="citation-1"/>
          <w:rFonts w:ascii="Century Gothic" w:hAnsi="Century Gothic"/>
          <w:sz w:val="24"/>
          <w:szCs w:val="24"/>
        </w:rPr>
        <w:t xml:space="preserve">. Możliwe powikłania związane z podskórnym podawaniem </w:t>
      </w:r>
      <w:proofErr w:type="spellStart"/>
      <w:r w:rsidRPr="005F7EE5">
        <w:rPr>
          <w:rStyle w:val="citation-1"/>
          <w:rFonts w:ascii="Century Gothic" w:hAnsi="Century Gothic"/>
          <w:sz w:val="24"/>
          <w:szCs w:val="24"/>
        </w:rPr>
        <w:t>lidokainy</w:t>
      </w:r>
      <w:proofErr w:type="spellEnd"/>
      <w:r w:rsidRPr="005F7EE5">
        <w:rPr>
          <w:rStyle w:val="citation-1"/>
          <w:rFonts w:ascii="Century Gothic" w:hAnsi="Century Gothic"/>
          <w:sz w:val="24"/>
          <w:szCs w:val="24"/>
        </w:rPr>
        <w:t xml:space="preserve"> to:</w:t>
      </w:r>
    </w:p>
    <w:p w:rsidR="005F7EE5" w:rsidRPr="005F7EE5" w:rsidRDefault="005F7EE5" w:rsidP="005F7EE5">
      <w:pPr>
        <w:ind w:left="-567" w:hanging="133"/>
        <w:jc w:val="both"/>
        <w:rPr>
          <w:rFonts w:ascii="Century Gothic" w:hAnsi="Century Gothic"/>
          <w:sz w:val="24"/>
          <w:szCs w:val="24"/>
        </w:rPr>
      </w:pPr>
      <w:r w:rsidRPr="005F7EE5">
        <w:rPr>
          <w:rStyle w:val="citation-1"/>
          <w:rFonts w:ascii="Century Gothic" w:hAnsi="Century Gothic"/>
          <w:sz w:val="24"/>
          <w:szCs w:val="24"/>
        </w:rPr>
        <w:t xml:space="preserve">- </w:t>
      </w:r>
      <w:r w:rsidRPr="005F7EE5">
        <w:rPr>
          <w:rFonts w:ascii="Century Gothic" w:hAnsi="Century Gothic"/>
          <w:sz w:val="24"/>
          <w:szCs w:val="24"/>
        </w:rPr>
        <w:t xml:space="preserve">reakcje alergiczne: u niektórych pacjentów może wystąpić uczulenie na </w:t>
      </w:r>
      <w:proofErr w:type="spellStart"/>
      <w:r w:rsidRPr="005F7EE5">
        <w:rPr>
          <w:rFonts w:ascii="Century Gothic" w:hAnsi="Century Gothic"/>
          <w:sz w:val="24"/>
          <w:szCs w:val="24"/>
        </w:rPr>
        <w:t>lidokainę</w:t>
      </w:r>
      <w:proofErr w:type="spellEnd"/>
      <w:r w:rsidRPr="005F7EE5">
        <w:rPr>
          <w:rFonts w:ascii="Century Gothic" w:hAnsi="Century Gothic"/>
          <w:sz w:val="24"/>
          <w:szCs w:val="24"/>
        </w:rPr>
        <w:t>, objawiające się wysypką, swędzeniem, obrzękiem lub dusznością. W przypadku wystąpienia takich objawów należy niezwłocznie skontaktować się z lekarzem.</w:t>
      </w:r>
    </w:p>
    <w:p w:rsidR="005F7EE5" w:rsidRPr="005F7EE5" w:rsidRDefault="005F7EE5" w:rsidP="005F7EE5">
      <w:pPr>
        <w:ind w:left="-567" w:hanging="133"/>
        <w:jc w:val="both"/>
        <w:rPr>
          <w:rFonts w:ascii="Century Gothic" w:hAnsi="Century Gothic"/>
          <w:sz w:val="24"/>
          <w:szCs w:val="24"/>
        </w:rPr>
      </w:pPr>
      <w:r w:rsidRPr="005F7EE5">
        <w:rPr>
          <w:rFonts w:ascii="Century Gothic" w:hAnsi="Century Gothic"/>
          <w:sz w:val="24"/>
          <w:szCs w:val="24"/>
        </w:rPr>
        <w:t xml:space="preserve">- działania niepożądane: </w:t>
      </w:r>
      <w:proofErr w:type="spellStart"/>
      <w:r w:rsidRPr="005F7EE5">
        <w:rPr>
          <w:rFonts w:ascii="Century Gothic" w:hAnsi="Century Gothic"/>
          <w:sz w:val="24"/>
          <w:szCs w:val="24"/>
        </w:rPr>
        <w:t>lidokaina</w:t>
      </w:r>
      <w:proofErr w:type="spellEnd"/>
      <w:r w:rsidRPr="005F7EE5">
        <w:rPr>
          <w:rFonts w:ascii="Century Gothic" w:hAnsi="Century Gothic"/>
          <w:sz w:val="24"/>
          <w:szCs w:val="24"/>
        </w:rPr>
        <w:t xml:space="preserve"> może powodować zaburzenia świadomości, zawroty głowy, senność, drżenie mięśni, zaburzenia widzenia lub słuchu. Objawy te zwykle ustępują po krótkim czasie.</w:t>
      </w:r>
    </w:p>
    <w:p w:rsidR="005F7EE5" w:rsidRPr="005F7EE5" w:rsidRDefault="005F7EE5" w:rsidP="005F7EE5">
      <w:pPr>
        <w:ind w:left="-567" w:hanging="133"/>
        <w:jc w:val="both"/>
        <w:rPr>
          <w:rFonts w:ascii="Century Gothic" w:hAnsi="Century Gothic"/>
          <w:sz w:val="24"/>
          <w:szCs w:val="24"/>
        </w:rPr>
      </w:pPr>
      <w:r w:rsidRPr="005F7EE5">
        <w:rPr>
          <w:rFonts w:ascii="Century Gothic" w:hAnsi="Century Gothic"/>
          <w:sz w:val="24"/>
          <w:szCs w:val="24"/>
        </w:rPr>
        <w:t xml:space="preserve">- powikłania miejscowe: w miejscu podania </w:t>
      </w:r>
      <w:proofErr w:type="spellStart"/>
      <w:r w:rsidRPr="005F7EE5">
        <w:rPr>
          <w:rFonts w:ascii="Century Gothic" w:hAnsi="Century Gothic"/>
          <w:sz w:val="24"/>
          <w:szCs w:val="24"/>
        </w:rPr>
        <w:t>lidokainy</w:t>
      </w:r>
      <w:proofErr w:type="spellEnd"/>
      <w:r w:rsidRPr="005F7EE5">
        <w:rPr>
          <w:rFonts w:ascii="Century Gothic" w:hAnsi="Century Gothic"/>
          <w:sz w:val="24"/>
          <w:szCs w:val="24"/>
        </w:rPr>
        <w:t xml:space="preserve"> może wystąpić zaczerwienienie, obrzęk lub ból. Zwykle są to łagodne objawy, które ustępują samoistnie.</w:t>
      </w:r>
    </w:p>
    <w:p w:rsidR="005F7EE5" w:rsidRPr="005F7EE5" w:rsidRDefault="005F7EE5" w:rsidP="005F7EE5">
      <w:pPr>
        <w:ind w:left="-700"/>
        <w:jc w:val="both"/>
        <w:rPr>
          <w:rFonts w:ascii="Century Gothic" w:hAnsi="Century Gothic"/>
          <w:sz w:val="24"/>
          <w:szCs w:val="24"/>
        </w:rPr>
      </w:pPr>
      <w:r w:rsidRPr="005F7EE5">
        <w:rPr>
          <w:rFonts w:ascii="Century Gothic" w:hAnsi="Century Gothic"/>
          <w:sz w:val="24"/>
          <w:szCs w:val="24"/>
        </w:rPr>
        <w:t xml:space="preserve">Ważne jest, aby poinformować lekarza o wszelkich dolegliwościach, które występują po podaniu </w:t>
      </w:r>
      <w:proofErr w:type="spellStart"/>
      <w:r w:rsidRPr="005F7EE5">
        <w:rPr>
          <w:rFonts w:ascii="Century Gothic" w:hAnsi="Century Gothic"/>
          <w:sz w:val="24"/>
          <w:szCs w:val="24"/>
        </w:rPr>
        <w:t>lidokainy</w:t>
      </w:r>
      <w:proofErr w:type="spellEnd"/>
      <w:r w:rsidRPr="005F7EE5">
        <w:rPr>
          <w:rFonts w:ascii="Century Gothic" w:hAnsi="Century Gothic"/>
          <w:sz w:val="24"/>
          <w:szCs w:val="24"/>
        </w:rPr>
        <w:t xml:space="preserve"> lub reakcjach, które wystąpiły podczas ewentualnych wcześniejszych podań leku. Podobna uwaga dotyczy przebytych niepożądanych reakcji na środki kontrastowe. </w:t>
      </w:r>
    </w:p>
    <w:p w:rsidR="006C473B" w:rsidRPr="006C473B" w:rsidRDefault="006C473B" w:rsidP="006C473B">
      <w:pPr>
        <w:ind w:left="-700"/>
        <w:jc w:val="both"/>
        <w:rPr>
          <w:rFonts w:ascii="Century Gothic" w:hAnsi="Century Gothic"/>
          <w:b/>
          <w:bCs/>
          <w:sz w:val="24"/>
          <w:szCs w:val="24"/>
        </w:rPr>
      </w:pPr>
      <w:r w:rsidRPr="006C473B">
        <w:rPr>
          <w:rFonts w:ascii="Century Gothic" w:hAnsi="Century Gothic"/>
          <w:b/>
          <w:bCs/>
          <w:sz w:val="24"/>
          <w:szCs w:val="24"/>
        </w:rPr>
        <w:t>6. SKUTKI ODLEGŁE ZABIEGU WEWNĄTRZNACZYNIOWEGO</w:t>
      </w:r>
    </w:p>
    <w:p w:rsidR="006C473B" w:rsidRPr="006C473B" w:rsidRDefault="006C473B" w:rsidP="006C473B">
      <w:pPr>
        <w:ind w:left="-700"/>
        <w:jc w:val="both"/>
        <w:rPr>
          <w:rFonts w:ascii="Century Gothic" w:hAnsi="Century Gothic"/>
          <w:sz w:val="24"/>
          <w:szCs w:val="24"/>
        </w:rPr>
      </w:pPr>
      <w:r w:rsidRPr="006C473B">
        <w:rPr>
          <w:rFonts w:ascii="Century Gothic" w:hAnsi="Century Gothic"/>
          <w:bCs/>
          <w:sz w:val="24"/>
          <w:szCs w:val="24"/>
        </w:rPr>
        <w:t xml:space="preserve">Jak wspomniano w pkt. 4, zabieg wewnątrznaczyniowy na kończynach dolnych ma na celu poprawienie Pana/ Pani jakości życia, zwiększenie </w:t>
      </w:r>
      <w:r w:rsidRPr="006C473B">
        <w:rPr>
          <w:rFonts w:ascii="Century Gothic" w:hAnsi="Century Gothic"/>
          <w:sz w:val="24"/>
          <w:szCs w:val="24"/>
        </w:rPr>
        <w:t xml:space="preserve">możliwości poruszania się, wygojenia ran, ustąpienia bólu, a także uniknięcie amputacji kończyny i wydłużenie oczekiwanego czasu przeżycia. Odległe efekty zabiegu zależą od tego, czy był on wykonany z powodu ostrego, czy przewlekłego niedokrwienia, a w tym ostatnim przypadku, czy z powodu chromania, czy też niedokrwienia z bólami spoczynkowymi i raną.  Najczęstszą przyczyną przewlekłego niedokrwienia jest miażdżyca, ale zabieg jej nie leczy, tylko poszerza światło naczynia. Dlatego jego efekty długoterminowe zależą także od dokładnego przestrzegania zaleceń lekarskich, w tym wdrożenia regularnej aktywności fizycznej i prostych ćwiczeń oraz prawidłowej kontroli stanów </w:t>
      </w:r>
      <w:r w:rsidRPr="006C473B">
        <w:rPr>
          <w:rFonts w:ascii="Century Gothic" w:hAnsi="Century Gothic"/>
          <w:sz w:val="24"/>
          <w:szCs w:val="24"/>
        </w:rPr>
        <w:lastRenderedPageBreak/>
        <w:t xml:space="preserve">prowadzących do rozwoju/ postępu miażdżycy, tzw. czynników ryzyka, tj. cukrzycy, stężenia cholesterolu, nadciśnienia tętniczego, palenia papierosów i nadwagi/otyłości. Najważniejszym odległym powikłaniem zabiegu wewnątrznaczyniowego jest nawrót zwężenia, tzw. </w:t>
      </w:r>
      <w:proofErr w:type="spellStart"/>
      <w:r w:rsidRPr="006C473B">
        <w:rPr>
          <w:rFonts w:ascii="Century Gothic" w:hAnsi="Century Gothic"/>
          <w:sz w:val="24"/>
          <w:szCs w:val="24"/>
        </w:rPr>
        <w:t>restenoza</w:t>
      </w:r>
      <w:proofErr w:type="spellEnd"/>
      <w:r w:rsidRPr="006C473B">
        <w:rPr>
          <w:rFonts w:ascii="Century Gothic" w:hAnsi="Century Gothic"/>
          <w:sz w:val="24"/>
          <w:szCs w:val="24"/>
        </w:rPr>
        <w:t>, która może wystąpić w różnym czasie po zabiegu (przeważnie z różną częstością zależnie od poziomu naczyniowego, na którym zabieg został wykonany, stanu naczyń poniżej i powyżej miejsca leczonego (napływ, odpływ), metody zabiegu itd. Utrata drożności naczynia dotyczy różnego odsetka chorych w zależności od miejsca leczonego, tzn. około 20% pacjentów, którzy mieli zabieg na tętnicach biodrowych po 5 latach, 20-30% po roku od wykonania zabiegu na naczyniach poniżej pachwiny, oraz 60-70% pacjentów w ciągu 6 miesięcy po wykonaniu zabiegu na tętnicach poniżej kolana. Ogólnie tylko 30% pacjentów jest wolnych od objawów po 2 latach po zabiegu. Innym odległym powikłaniem zabiegu wewnątrznaczyniowego może być rozwój tętniaka (poszerzenia naczynia), do którego dochodzi częściej, gdy podczas zabiegu wykorzystuje się akcesoria uwalniające lek, powodujące nacięcia (balony tnące) lub usuwanie chorych tkanek z naczynia (</w:t>
      </w:r>
      <w:proofErr w:type="spellStart"/>
      <w:r w:rsidRPr="006C473B">
        <w:rPr>
          <w:rFonts w:ascii="Century Gothic" w:hAnsi="Century Gothic"/>
          <w:sz w:val="24"/>
          <w:szCs w:val="24"/>
        </w:rPr>
        <w:t>aterektomia</w:t>
      </w:r>
      <w:proofErr w:type="spellEnd"/>
      <w:r w:rsidRPr="006C473B">
        <w:rPr>
          <w:rFonts w:ascii="Century Gothic" w:hAnsi="Century Gothic"/>
          <w:sz w:val="24"/>
          <w:szCs w:val="24"/>
        </w:rPr>
        <w:t xml:space="preserve">). Tętniak taki może być źródłem zatorów obwodowych lub może pęknąć i być powodem krwawienia/ tętniaka rzekomego. U pacjentów z chromaniem przestankowym ryzyko amputacji kończyny wynosi około 2%, a w ciągu 5 lat do nasilenia objawów (skrócenia dystansu chromania) dochodzi u 10-20% chorych, a przejście w stan zagrożenia amputacją kończyny (niedokrwienie krytyczne) występuje u 5-20% chorych. W grupie chorych z najbardziej zaawansowanymi objawami, czyli z niedokrwieniem zagrażającym amputacją (niedokrwienie krytyczne) ryzyko amputacji wynosi 25-30%, a śmiertelność 25% w ciągu roku i 90% w ciągu 5 lat. Dlatego konieczna jest ścisła kontrola lekarska ukierunkowana nie tylko na ocenę drożności naczynia, ale także na holistyczne leczenie czynników ryzyka miażdżycy. Efekty odległe zabiegu, zależne od technologii wykorzystanej podczas jego przeprowadzenia, są determinowane także ryzkiem opisanym w pkt. 5 oraz ewentualną koniecznością wykonania amputacji kończyny. Z zabiegiem tym wiąże się śmiertelność 30-dniowa na poziomie 4-20%, zależnie, czy jest wykonywana w trybie planowym, czy pilnym. </w:t>
      </w:r>
    </w:p>
    <w:p w:rsidR="006C473B" w:rsidRPr="006C473B" w:rsidRDefault="006C473B" w:rsidP="006C473B">
      <w:pPr>
        <w:ind w:left="-700"/>
        <w:jc w:val="both"/>
        <w:rPr>
          <w:rFonts w:ascii="Century Gothic" w:hAnsi="Century Gothic"/>
          <w:b/>
          <w:bCs/>
          <w:sz w:val="24"/>
          <w:szCs w:val="24"/>
        </w:rPr>
      </w:pPr>
      <w:r w:rsidRPr="006C473B">
        <w:rPr>
          <w:rFonts w:ascii="Century Gothic" w:hAnsi="Century Gothic"/>
          <w:b/>
          <w:bCs/>
          <w:sz w:val="24"/>
          <w:szCs w:val="24"/>
        </w:rPr>
        <w:t>7. ALTERNATYWNE METODY LECZENIA:</w:t>
      </w:r>
    </w:p>
    <w:p w:rsidR="006C473B" w:rsidRPr="006C473B" w:rsidRDefault="006C473B" w:rsidP="006C473B">
      <w:pPr>
        <w:ind w:left="-700"/>
        <w:jc w:val="both"/>
        <w:rPr>
          <w:rFonts w:ascii="Century Gothic" w:hAnsi="Century Gothic"/>
          <w:bCs/>
          <w:sz w:val="24"/>
          <w:szCs w:val="24"/>
        </w:rPr>
      </w:pPr>
      <w:r w:rsidRPr="006C473B">
        <w:rPr>
          <w:rFonts w:ascii="Century Gothic" w:hAnsi="Century Gothic"/>
          <w:bCs/>
          <w:sz w:val="24"/>
          <w:szCs w:val="24"/>
        </w:rPr>
        <w:t xml:space="preserve">Rodzaj alternatywnych metod leczenia dobiera się w zależności od stanu kończyny (np. stopnia niedokrwienia, wielkości martwicy lub rany, ciężkości infekcji), stanu pacjenta, możliwości znieczulenia, zaawansowania chorób współistniejących, anatomii naczyń i poziomu potencjalnej rewaskularyzacji. Najczęstszą alternatywą dla zabiegów wewnątrznaczyniowych jest klasyczny zabieg chirurgiczny lub leczenia zachowawcze (farmakologiczne, tzw. optymalna terapia farmakologiczna). </w:t>
      </w:r>
    </w:p>
    <w:p w:rsidR="006C473B" w:rsidRPr="006C473B" w:rsidRDefault="006C473B" w:rsidP="006C473B">
      <w:pPr>
        <w:ind w:left="-700"/>
        <w:jc w:val="both"/>
        <w:rPr>
          <w:rFonts w:ascii="Century Gothic" w:hAnsi="Century Gothic"/>
          <w:sz w:val="24"/>
          <w:szCs w:val="24"/>
        </w:rPr>
      </w:pPr>
      <w:r w:rsidRPr="006C473B">
        <w:rPr>
          <w:rFonts w:ascii="Century Gothic" w:hAnsi="Century Gothic"/>
          <w:bCs/>
          <w:sz w:val="24"/>
          <w:szCs w:val="24"/>
        </w:rPr>
        <w:t xml:space="preserve">LECZENIE CHIRURGICZNE – to klasyczny zabieg w znieczuleniu ogólnym lub w znieczuleniu przez cewnik wprowadzony do kanału kręgosłupa. Zabieg polega na </w:t>
      </w:r>
      <w:r w:rsidRPr="006C473B">
        <w:rPr>
          <w:rFonts w:ascii="Century Gothic" w:hAnsi="Century Gothic"/>
          <w:bCs/>
          <w:sz w:val="24"/>
          <w:szCs w:val="24"/>
        </w:rPr>
        <w:lastRenderedPageBreak/>
        <w:t xml:space="preserve">nacięciu skóry, wypreparowaniu chorobowo zmienionych naczyń krwionośnych i ich chirurgicznym udrożnieniu (miejscowym usunięciem blaszki miażdżycowej, tzw. </w:t>
      </w:r>
      <w:proofErr w:type="spellStart"/>
      <w:r w:rsidRPr="006C473B">
        <w:rPr>
          <w:rFonts w:ascii="Century Gothic" w:hAnsi="Century Gothic"/>
          <w:bCs/>
          <w:sz w:val="24"/>
          <w:szCs w:val="24"/>
        </w:rPr>
        <w:t>endarterektomia</w:t>
      </w:r>
      <w:proofErr w:type="spellEnd"/>
      <w:r w:rsidRPr="006C473B">
        <w:rPr>
          <w:rFonts w:ascii="Century Gothic" w:hAnsi="Century Gothic"/>
          <w:bCs/>
          <w:sz w:val="24"/>
          <w:szCs w:val="24"/>
        </w:rPr>
        <w:t xml:space="preserve">) lub wszczepieniu pomostu, czyli „rurki” z własnej żyły lub materiału sztucznego ("baj-pasu"), omijającego zwężenie, a następnie zabezpieczeniem miejsca operowanego i zaszyciem rany. Zabieg tego typu ma swoje ograniczenia. Przede wszystkim nie wszystkie naczynia krwionośne są położone tak, aby można było bezpieczną metodą wykonać operację „na otwarto”. Ponadto rana pooperacyjna stwarza większe ryzyko zakażenia, krwawienia z miejsca operowanego i zakrzepicy tętnicy w miejscu operowanym oraz zakrzepicy żył głębokich. Zabieg chirurgiczny wiąże się też z większym stresem okołooperacyjnym (nasilającym „spalanie” tkanek własnych chorego), czasem koniecznością otwarcia jamy brzusznej, ryzykiem uszkodzenia drobnych naczyń krążenia obocznego oraz nerwów (z czym wiążą się zaburzenia czucia, niedowłady kończyn, pogorszenie jej ukrwienia), dłuższego unieruchomienia. Czasem alternatywą do leczenia wewnątrznaczyniowego ratującego kończynę, szczególnie u pacjenta z ostrym i przewlekłym, krytycznym niedokrwieniem kończyny, może być jej amputacja na różnym poziomie. </w:t>
      </w:r>
    </w:p>
    <w:p w:rsidR="006C473B" w:rsidRPr="006C473B" w:rsidRDefault="006C473B" w:rsidP="006C473B">
      <w:pPr>
        <w:ind w:left="-700"/>
        <w:jc w:val="both"/>
        <w:rPr>
          <w:rFonts w:ascii="Century Gothic" w:hAnsi="Century Gothic"/>
          <w:b/>
          <w:sz w:val="24"/>
          <w:szCs w:val="24"/>
        </w:rPr>
      </w:pPr>
      <w:r w:rsidRPr="006C473B">
        <w:rPr>
          <w:rFonts w:ascii="Century Gothic" w:hAnsi="Century Gothic"/>
          <w:bCs/>
          <w:sz w:val="24"/>
          <w:szCs w:val="24"/>
        </w:rPr>
        <w:t xml:space="preserve">LECZENIE ZACHOWAWCZE, czyli brak ingerencji chirurgicznej czy wewnątrznaczyniowej i zalecenie leczenia farmakologicznego. Niestety ta metoda nie zawsze jest w stanie zahamować postęp choroby, szczególnie w przypadku niedokrwienia ostrego i niedokrwienia krytycznego, gdy brak dopływu krwi do tkanek kończyny może prowadzić do bardzo poważnych powikłań, jak jej utrata (amputacja), zatrucie organizmu produktami rozpadu niedokrwionych tkanek, reakcja prowadząca do niewydolności wszystkich narządów w organizmie (zespół </w:t>
      </w:r>
      <w:proofErr w:type="spellStart"/>
      <w:r w:rsidRPr="006C473B">
        <w:rPr>
          <w:rFonts w:ascii="Century Gothic" w:hAnsi="Century Gothic"/>
          <w:bCs/>
          <w:sz w:val="24"/>
          <w:szCs w:val="24"/>
        </w:rPr>
        <w:t>poreperfuzyjny</w:t>
      </w:r>
      <w:proofErr w:type="spellEnd"/>
      <w:r w:rsidRPr="006C473B">
        <w:rPr>
          <w:rFonts w:ascii="Century Gothic" w:hAnsi="Century Gothic"/>
          <w:bCs/>
          <w:sz w:val="24"/>
          <w:szCs w:val="24"/>
        </w:rPr>
        <w:t xml:space="preserve">), a nawet zgonu chorego. W przypadku zachowawczego leczenia przewlekłego niedokrwienia pod postacią chromania przestankowego konieczna będzie intensywna rehabilitacja wspomagana farmakoterapią. Należy jednak pamiętać, że uzyskana tą drogą poprawa dystansu marszu bez bólu o 200%, spowoduje, że pacjent będzie mógł przejść np. z 20m do 60m. Istnieje ryzyko progresji fazy chromania przestankowego u około 20-30% pacjentów w ciągu 5 lat. Jak wspomniano, w przypadku niedokrwienia krytycznego z bólem spoczynkowym(nocnym) lub martwicą leczenie zachowawcze ma małe szanse powodzenia, w ciągu roku około 40% chorych utraci kończynę na różnym poziomie, a około 30% chorych będzie żyła z bólem różnego nasilenia. Około 25% pacjentów z krytycznym niedokrwieniem kończyny umiera w ciągu roku. </w:t>
      </w:r>
    </w:p>
    <w:p w:rsidR="00030863" w:rsidRDefault="00030863" w:rsidP="00735429">
      <w:pPr>
        <w:ind w:left="-700"/>
        <w:jc w:val="both"/>
        <w:rPr>
          <w:rFonts w:ascii="Century Gothic" w:hAnsi="Century Gothic"/>
          <w:sz w:val="24"/>
          <w:szCs w:val="24"/>
        </w:rPr>
      </w:pPr>
    </w:p>
    <w:p w:rsidR="00AE4D15" w:rsidRPr="00AE4D15" w:rsidRDefault="00AE4D15" w:rsidP="00AE4D15">
      <w:pPr>
        <w:ind w:left="-700"/>
        <w:jc w:val="both"/>
        <w:rPr>
          <w:rFonts w:ascii="Century Gothic" w:hAnsi="Century Gothic"/>
          <w:sz w:val="24"/>
          <w:szCs w:val="24"/>
        </w:rPr>
      </w:pPr>
      <w:r w:rsidRPr="00AE4D15">
        <w:rPr>
          <w:rFonts w:ascii="Century Gothic" w:hAnsi="Century Gothic"/>
          <w:b/>
          <w:sz w:val="24"/>
          <w:szCs w:val="24"/>
        </w:rPr>
        <w:t>8. SKUTKI ODMOWY I NIEPODJĘCIA PROPONOWANEGO LECZENIA/ DIAGNOSTYKI:</w:t>
      </w:r>
    </w:p>
    <w:p w:rsidR="00AE4D15" w:rsidRPr="004170C6" w:rsidRDefault="00AE4D15" w:rsidP="004170C6">
      <w:pPr>
        <w:ind w:left="-700"/>
        <w:jc w:val="both"/>
        <w:rPr>
          <w:rFonts w:ascii="Century Gothic" w:hAnsi="Century Gothic"/>
          <w:bCs/>
          <w:sz w:val="24"/>
          <w:szCs w:val="24"/>
        </w:rPr>
      </w:pPr>
      <w:r w:rsidRPr="00AE4D15">
        <w:rPr>
          <w:rFonts w:ascii="Century Gothic" w:hAnsi="Century Gothic"/>
          <w:bCs/>
          <w:sz w:val="24"/>
          <w:szCs w:val="24"/>
        </w:rPr>
        <w:t>Oświadczam, że zostałem/</w:t>
      </w:r>
      <w:proofErr w:type="spellStart"/>
      <w:r w:rsidRPr="00AE4D15">
        <w:rPr>
          <w:rFonts w:ascii="Century Gothic" w:hAnsi="Century Gothic"/>
          <w:bCs/>
          <w:sz w:val="24"/>
          <w:szCs w:val="24"/>
        </w:rPr>
        <w:t>am</w:t>
      </w:r>
      <w:proofErr w:type="spellEnd"/>
      <w:r w:rsidRPr="00AE4D15">
        <w:rPr>
          <w:rFonts w:ascii="Century Gothic" w:hAnsi="Century Gothic"/>
          <w:bCs/>
          <w:sz w:val="24"/>
          <w:szCs w:val="24"/>
        </w:rPr>
        <w:t xml:space="preserve"> poinformowany/a, że brak podjęcia leczenia zabiegowego i wybór leczenia zachowawczego farmakologicznego może, w </w:t>
      </w:r>
      <w:r w:rsidRPr="00AE4D15">
        <w:rPr>
          <w:rFonts w:ascii="Century Gothic" w:hAnsi="Century Gothic"/>
          <w:bCs/>
          <w:sz w:val="24"/>
          <w:szCs w:val="24"/>
        </w:rPr>
        <w:lastRenderedPageBreak/>
        <w:t xml:space="preserve">zależności od stopnia nasilenia choroby przed zabiegiem, doprowadzić do skutków opisanych powyżej, a więc zgonu, poważnego uszczerbku na funkcjonowaniu wielu narządów w organizmie, utraty kończyny (amputacji), silnych, przewlekłych dolegliwości bólowych zaburzających sen i codzienne funkcjonowanie, powstawania martwicy tkanek i niegojących się owrzodzeń, „zatrucia organizmu” i </w:t>
      </w:r>
      <w:proofErr w:type="spellStart"/>
      <w:r w:rsidRPr="00AE4D15">
        <w:rPr>
          <w:rFonts w:ascii="Century Gothic" w:hAnsi="Century Gothic"/>
          <w:bCs/>
          <w:sz w:val="24"/>
          <w:szCs w:val="24"/>
        </w:rPr>
        <w:t>sepsy</w:t>
      </w:r>
      <w:proofErr w:type="spellEnd"/>
      <w:r w:rsidRPr="00AE4D15">
        <w:rPr>
          <w:rFonts w:ascii="Century Gothic" w:hAnsi="Century Gothic"/>
          <w:bCs/>
          <w:sz w:val="24"/>
          <w:szCs w:val="24"/>
        </w:rPr>
        <w:t xml:space="preserve">. </w:t>
      </w:r>
    </w:p>
    <w:p w:rsidR="004170C6" w:rsidRPr="004170C6" w:rsidRDefault="004170C6" w:rsidP="004170C6">
      <w:pPr>
        <w:tabs>
          <w:tab w:val="left" w:pos="-284"/>
        </w:tabs>
        <w:ind w:left="-709"/>
        <w:jc w:val="both"/>
        <w:rPr>
          <w:rFonts w:ascii="Century Gothic" w:hAnsi="Century Gothic"/>
          <w:b/>
          <w:bCs/>
          <w:i/>
          <w:sz w:val="24"/>
          <w:szCs w:val="24"/>
        </w:rPr>
      </w:pPr>
      <w:r w:rsidRPr="004170C6">
        <w:rPr>
          <w:rFonts w:ascii="Century Gothic" w:hAnsi="Century Gothic"/>
          <w:b/>
          <w:bCs/>
          <w:sz w:val="24"/>
          <w:szCs w:val="24"/>
        </w:rPr>
        <w:t xml:space="preserve">9. PYTANIA PACJENTA: </w:t>
      </w:r>
      <w:r w:rsidRPr="004170C6">
        <w:rPr>
          <w:rFonts w:ascii="Century Gothic" w:hAnsi="Calibri" w:cs="Calibri"/>
          <w:b/>
          <w:bCs/>
          <w:sz w:val="24"/>
          <w:szCs w:val="24"/>
        </w:rPr>
        <w:t>⃝</w:t>
      </w:r>
      <w:r w:rsidRPr="004170C6">
        <w:rPr>
          <w:rFonts w:ascii="Century Gothic" w:hAnsi="Century Gothic" w:cs="Calibri"/>
          <w:b/>
          <w:bCs/>
          <w:sz w:val="24"/>
          <w:szCs w:val="24"/>
        </w:rPr>
        <w:t xml:space="preserve"> - brak</w:t>
      </w:r>
    </w:p>
    <w:p w:rsidR="00AE4D15" w:rsidRDefault="004170C6" w:rsidP="004170C6">
      <w:pPr>
        <w:ind w:left="-700"/>
        <w:jc w:val="both"/>
        <w:rPr>
          <w:rFonts w:ascii="Century Gothic" w:hAnsi="Century Gothic"/>
          <w:sz w:val="24"/>
          <w:szCs w:val="24"/>
        </w:rPr>
      </w:pPr>
      <w:r w:rsidRPr="004170C6">
        <w:rPr>
          <w:rFonts w:ascii="Century Gothic" w:hAnsi="Century Gothic"/>
          <w:sz w:val="24"/>
          <w:szCs w:val="24"/>
        </w:rPr>
        <w:t>……………………………………………………………………………………………………………………………………………………………………………………………………………………</w:t>
      </w:r>
      <w:r>
        <w:rPr>
          <w:rFonts w:ascii="Century Gothic" w:hAnsi="Century Gothic"/>
          <w:sz w:val="24"/>
          <w:szCs w:val="24"/>
        </w:rPr>
        <w:t>……</w:t>
      </w:r>
    </w:p>
    <w:p w:rsidR="00EB6AAA" w:rsidRPr="00EB6AAA" w:rsidRDefault="00EB6AAA" w:rsidP="00EB6AAA">
      <w:pPr>
        <w:tabs>
          <w:tab w:val="left" w:pos="-284"/>
        </w:tabs>
        <w:ind w:left="-709"/>
        <w:jc w:val="both"/>
        <w:rPr>
          <w:rFonts w:ascii="Century Gothic" w:hAnsi="Century Gothic"/>
          <w:sz w:val="24"/>
          <w:szCs w:val="24"/>
        </w:rPr>
      </w:pPr>
      <w:r w:rsidRPr="00EB6AAA">
        <w:rPr>
          <w:rFonts w:ascii="Century Gothic" w:hAnsi="Century Gothic"/>
          <w:b/>
          <w:sz w:val="24"/>
          <w:szCs w:val="24"/>
        </w:rPr>
        <w:t>10. OŚWIADCZENIE PACJENTA:</w:t>
      </w:r>
    </w:p>
    <w:p w:rsidR="00EB6AAA" w:rsidRPr="00EB6AAA" w:rsidRDefault="00EB6AAA" w:rsidP="00EB6AAA">
      <w:pPr>
        <w:spacing w:after="120"/>
        <w:ind w:left="-426" w:hanging="283"/>
        <w:jc w:val="both"/>
        <w:rPr>
          <w:rFonts w:ascii="Century Gothic" w:hAnsi="Century Gothic"/>
          <w:sz w:val="24"/>
          <w:szCs w:val="24"/>
        </w:rPr>
      </w:pPr>
      <w:r w:rsidRPr="00EB6AAA">
        <w:rPr>
          <w:rFonts w:ascii="Century Gothic" w:hAnsi="Century Gothic"/>
          <w:sz w:val="24"/>
          <w:szCs w:val="24"/>
        </w:rPr>
        <w:t>1. Oświadczam, że zapoznałem/</w:t>
      </w:r>
      <w:proofErr w:type="spellStart"/>
      <w:r w:rsidRPr="00EB6AAA">
        <w:rPr>
          <w:rFonts w:ascii="Century Gothic" w:hAnsi="Century Gothic"/>
          <w:sz w:val="24"/>
          <w:szCs w:val="24"/>
        </w:rPr>
        <w:t>-a</w:t>
      </w:r>
      <w:proofErr w:type="spellEnd"/>
      <w:r w:rsidRPr="00EB6AAA">
        <w:rPr>
          <w:rFonts w:ascii="Century Gothic" w:hAnsi="Century Gothic"/>
          <w:sz w:val="24"/>
          <w:szCs w:val="24"/>
        </w:rPr>
        <w:t xml:space="preserve">m się z treścią niniejszego formularza i w pełni zrozumiałem/ </w:t>
      </w:r>
      <w:proofErr w:type="spellStart"/>
      <w:r w:rsidRPr="00EB6AAA">
        <w:rPr>
          <w:rFonts w:ascii="Century Gothic" w:hAnsi="Century Gothic"/>
          <w:sz w:val="24"/>
          <w:szCs w:val="24"/>
        </w:rPr>
        <w:t>-a</w:t>
      </w:r>
      <w:proofErr w:type="spellEnd"/>
      <w:r w:rsidRPr="00EB6AAA">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EB6AAA">
        <w:rPr>
          <w:rFonts w:ascii="Century Gothic" w:hAnsi="Century Gothic"/>
          <w:iCs/>
          <w:sz w:val="24"/>
          <w:szCs w:val="24"/>
        </w:rPr>
        <w:t>oczekiwanych korzyściach i dających się przewidzieć skutków odległych zabiegu;</w:t>
      </w:r>
      <w:r w:rsidRPr="00EB6AAA">
        <w:rPr>
          <w:rFonts w:ascii="Century Gothic" w:hAnsi="Century Gothic"/>
          <w:sz w:val="24"/>
          <w:szCs w:val="24"/>
        </w:rPr>
        <w:t xml:space="preserve"> alternatywnych metodach leczniczych i diagnostycznych oraz </w:t>
      </w:r>
      <w:r w:rsidRPr="00EB6AAA">
        <w:rPr>
          <w:rFonts w:ascii="Century Gothic" w:hAnsi="Century Gothic"/>
          <w:iCs/>
          <w:sz w:val="24"/>
          <w:szCs w:val="24"/>
        </w:rPr>
        <w:t>dających się przewidzieć następstw zastosowania tych metod lub ich zaniechania, skutków odmowy i niepodjęcia proponowanego leczenia</w:t>
      </w:r>
      <w:r w:rsidRPr="00EB6AAA">
        <w:rPr>
          <w:rFonts w:ascii="Century Gothic" w:hAnsi="Century Gothic"/>
          <w:sz w:val="24"/>
          <w:szCs w:val="24"/>
        </w:rPr>
        <w:t>.</w:t>
      </w:r>
    </w:p>
    <w:p w:rsidR="00EB6AAA" w:rsidRPr="00EB6AAA" w:rsidRDefault="00EB6AAA" w:rsidP="00EB6AAA">
      <w:pPr>
        <w:spacing w:after="120"/>
        <w:ind w:left="-426" w:hanging="283"/>
        <w:jc w:val="both"/>
        <w:rPr>
          <w:rFonts w:ascii="Century Gothic" w:hAnsi="Century Gothic"/>
          <w:sz w:val="24"/>
          <w:szCs w:val="24"/>
        </w:rPr>
      </w:pPr>
      <w:r w:rsidRPr="00EB6AAA">
        <w:rPr>
          <w:rFonts w:ascii="Century Gothic" w:hAnsi="Century Gothic"/>
          <w:sz w:val="24"/>
          <w:szCs w:val="24"/>
        </w:rPr>
        <w:t xml:space="preserve">2. Oświadczam, że podczas rozmowy z lekarzem miałem/ </w:t>
      </w:r>
      <w:proofErr w:type="spellStart"/>
      <w:r w:rsidRPr="00EB6AAA">
        <w:rPr>
          <w:rFonts w:ascii="Century Gothic" w:hAnsi="Century Gothic"/>
          <w:sz w:val="24"/>
          <w:szCs w:val="24"/>
        </w:rPr>
        <w:t>-a</w:t>
      </w:r>
      <w:proofErr w:type="spellEnd"/>
      <w:r w:rsidRPr="00EB6AAA">
        <w:rPr>
          <w:rFonts w:ascii="Century Gothic" w:hAnsi="Century Gothic"/>
          <w:sz w:val="24"/>
          <w:szCs w:val="24"/>
        </w:rPr>
        <w:t xml:space="preserve">m możliwość zadawania pytań dotyczących proponowanego leczenia i otrzymałem/ </w:t>
      </w:r>
      <w:proofErr w:type="spellStart"/>
      <w:r w:rsidRPr="00EB6AAA">
        <w:rPr>
          <w:rFonts w:ascii="Century Gothic" w:hAnsi="Century Gothic"/>
          <w:sz w:val="24"/>
          <w:szCs w:val="24"/>
        </w:rPr>
        <w:t>-a</w:t>
      </w:r>
      <w:proofErr w:type="spellEnd"/>
      <w:r w:rsidRPr="00EB6AAA">
        <w:rPr>
          <w:rFonts w:ascii="Century Gothic" w:hAnsi="Century Gothic"/>
          <w:sz w:val="24"/>
          <w:szCs w:val="24"/>
        </w:rPr>
        <w:t xml:space="preserve">m na nie przystępne, zrozumiałe i wyczerpujące odpowiedzi. </w:t>
      </w:r>
    </w:p>
    <w:p w:rsidR="00EB6AAA" w:rsidRPr="00EB6AAA" w:rsidRDefault="00EB6AAA" w:rsidP="00EB6AAA">
      <w:pPr>
        <w:spacing w:after="120"/>
        <w:ind w:left="-426" w:hanging="283"/>
        <w:jc w:val="both"/>
        <w:rPr>
          <w:rFonts w:ascii="Century Gothic" w:hAnsi="Century Gothic"/>
          <w:sz w:val="24"/>
          <w:szCs w:val="24"/>
        </w:rPr>
      </w:pPr>
      <w:r w:rsidRPr="00EB6AAA">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transportu oraz schorzeniach członków mojej najbliższej rodziny. </w:t>
      </w:r>
    </w:p>
    <w:p w:rsidR="004170C6" w:rsidRDefault="004170C6" w:rsidP="004170C6">
      <w:pPr>
        <w:ind w:left="-700"/>
        <w:jc w:val="both"/>
        <w:rPr>
          <w:rFonts w:ascii="Century Gothic" w:hAnsi="Century Gothic"/>
          <w:sz w:val="24"/>
          <w:szCs w:val="24"/>
        </w:rPr>
      </w:pPr>
    </w:p>
    <w:p w:rsidR="00106356" w:rsidRPr="00106356" w:rsidRDefault="00106356" w:rsidP="00106356">
      <w:pPr>
        <w:ind w:left="-709"/>
        <w:jc w:val="both"/>
        <w:rPr>
          <w:rFonts w:ascii="Century Gothic" w:hAnsi="Century Gothic"/>
          <w:b/>
          <w:bCs/>
          <w:sz w:val="24"/>
          <w:szCs w:val="24"/>
        </w:rPr>
      </w:pPr>
      <w:r w:rsidRPr="00106356">
        <w:rPr>
          <w:rFonts w:ascii="Century Gothic" w:hAnsi="Century Gothic"/>
          <w:b/>
          <w:bCs/>
          <w:sz w:val="24"/>
          <w:szCs w:val="24"/>
        </w:rPr>
        <w:t>Zgoda na zabieg</w:t>
      </w:r>
    </w:p>
    <w:p w:rsidR="00106356" w:rsidRPr="00106356" w:rsidRDefault="00106356" w:rsidP="00106356">
      <w:pPr>
        <w:ind w:left="-709"/>
        <w:jc w:val="both"/>
        <w:rPr>
          <w:rFonts w:ascii="Century Gothic" w:hAnsi="Century Gothic"/>
          <w:sz w:val="24"/>
          <w:szCs w:val="24"/>
        </w:rPr>
      </w:pPr>
      <w:r w:rsidRPr="00106356">
        <w:rPr>
          <w:rFonts w:ascii="Century Gothic" w:hAnsi="Century Gothic"/>
          <w:sz w:val="24"/>
          <w:szCs w:val="24"/>
        </w:rPr>
        <w:t xml:space="preserve">Mając świadomość przedstawionych wyżej wieloczynnikowych aspektów ryzyka związanego z przeprowadzeniem u mnie zabiegu/ procedury medycznej, w pełni </w:t>
      </w:r>
      <w:r w:rsidRPr="00106356">
        <w:rPr>
          <w:rFonts w:ascii="Century Gothic" w:hAnsi="Century Gothic"/>
          <w:sz w:val="24"/>
          <w:szCs w:val="24"/>
        </w:rPr>
        <w:lastRenderedPageBreak/>
        <w:t xml:space="preserve">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p>
    <w:p w:rsidR="00247604" w:rsidRPr="00247604" w:rsidRDefault="00247604" w:rsidP="00247604">
      <w:pPr>
        <w:tabs>
          <w:tab w:val="left" w:pos="-284"/>
        </w:tabs>
        <w:ind w:left="-567" w:hanging="133"/>
        <w:jc w:val="both"/>
        <w:rPr>
          <w:rFonts w:ascii="Century Gothic" w:hAnsi="Century Gothic"/>
          <w:sz w:val="24"/>
          <w:szCs w:val="24"/>
        </w:rPr>
      </w:pPr>
      <w:r w:rsidRPr="00247604">
        <w:rPr>
          <w:rFonts w:ascii="Century Gothic" w:hAnsi="Century Gothic"/>
          <w:b/>
          <w:sz w:val="24"/>
          <w:szCs w:val="24"/>
        </w:rPr>
        <w:t>11. UWAGI LEKARZA:</w:t>
      </w:r>
    </w:p>
    <w:p w:rsidR="00247604" w:rsidRDefault="00247604" w:rsidP="00247604">
      <w:pPr>
        <w:tabs>
          <w:tab w:val="left" w:pos="-284"/>
        </w:tabs>
        <w:ind w:left="-567" w:right="333" w:hanging="133"/>
        <w:jc w:val="both"/>
        <w:rPr>
          <w:rFonts w:ascii="Century Gothic" w:hAnsi="Century Gothic"/>
          <w:sz w:val="24"/>
          <w:szCs w:val="24"/>
        </w:rPr>
      </w:pPr>
      <w:r w:rsidRPr="00247604">
        <w:rPr>
          <w:rFonts w:ascii="Century Gothic" w:hAnsi="Century Gothic"/>
          <w:sz w:val="24"/>
          <w:szCs w:val="24"/>
        </w:rPr>
        <w:t>..................................................................................................................................................</w:t>
      </w:r>
      <w:r>
        <w:rPr>
          <w:rFonts w:ascii="Century Gothic" w:hAnsi="Century Gothic"/>
          <w:sz w:val="24"/>
          <w:szCs w:val="24"/>
        </w:rPr>
        <w:t>................................................................................................................................................</w:t>
      </w:r>
    </w:p>
    <w:p w:rsidR="00247604" w:rsidRDefault="00247604" w:rsidP="00247604">
      <w:pPr>
        <w:tabs>
          <w:tab w:val="left" w:pos="-284"/>
        </w:tabs>
        <w:ind w:left="-567" w:hanging="133"/>
        <w:jc w:val="both"/>
        <w:rPr>
          <w:b/>
        </w:rPr>
      </w:pPr>
    </w:p>
    <w:p w:rsidR="00247604" w:rsidRPr="00247604" w:rsidRDefault="00247604" w:rsidP="00247604">
      <w:pPr>
        <w:tabs>
          <w:tab w:val="left" w:pos="-284"/>
        </w:tabs>
        <w:ind w:left="-567" w:hanging="133"/>
        <w:jc w:val="both"/>
        <w:rPr>
          <w:rFonts w:ascii="Century Gothic" w:hAnsi="Century Gothic"/>
          <w:sz w:val="24"/>
          <w:szCs w:val="24"/>
        </w:rPr>
      </w:pPr>
      <w:r w:rsidRPr="00247604">
        <w:rPr>
          <w:rFonts w:ascii="Century Gothic" w:hAnsi="Century Gothic"/>
          <w:b/>
          <w:sz w:val="24"/>
          <w:szCs w:val="24"/>
        </w:rPr>
        <w:t>12. PODPIS PACJENTA I LEKARZA:</w:t>
      </w:r>
    </w:p>
    <w:tbl>
      <w:tblPr>
        <w:tblW w:w="0" w:type="auto"/>
        <w:tblInd w:w="-492" w:type="dxa"/>
        <w:tblLayout w:type="fixed"/>
        <w:tblLook w:val="0000"/>
      </w:tblPr>
      <w:tblGrid>
        <w:gridCol w:w="3700"/>
        <w:gridCol w:w="7100"/>
      </w:tblGrid>
      <w:tr w:rsidR="00247604" w:rsidRPr="00011F16" w:rsidTr="005143A4">
        <w:trPr>
          <w:trHeight w:val="964"/>
        </w:trPr>
        <w:tc>
          <w:tcPr>
            <w:tcW w:w="3700" w:type="dxa"/>
            <w:tcBorders>
              <w:top w:val="single" w:sz="4" w:space="0" w:color="000000"/>
              <w:left w:val="single" w:sz="4" w:space="0" w:color="000000"/>
              <w:bottom w:val="single" w:sz="4" w:space="0" w:color="000000"/>
              <w:right w:val="single" w:sz="4" w:space="0" w:color="000000"/>
            </w:tcBorders>
            <w:vAlign w:val="center"/>
          </w:tcPr>
          <w:p w:rsidR="00247604" w:rsidRPr="00247604" w:rsidRDefault="00247604" w:rsidP="00247604">
            <w:pPr>
              <w:tabs>
                <w:tab w:val="left" w:pos="-284"/>
              </w:tabs>
              <w:rPr>
                <w:rFonts w:ascii="Century Gothic" w:hAnsi="Century Gothic"/>
              </w:rPr>
            </w:pPr>
            <w:r w:rsidRPr="00247604">
              <w:rPr>
                <w:rFonts w:ascii="Century Gothic" w:hAnsi="Century Gothic"/>
              </w:rPr>
              <w:t xml:space="preserve">Data oraz podpis pacjenta </w:t>
            </w:r>
          </w:p>
          <w:p w:rsidR="00247604" w:rsidRPr="00011F16" w:rsidRDefault="00247604" w:rsidP="00247604">
            <w:pPr>
              <w:tabs>
                <w:tab w:val="left" w:pos="-284"/>
              </w:tabs>
            </w:pPr>
            <w:r w:rsidRPr="00247604">
              <w:rPr>
                <w:rFonts w:ascii="Century Gothic" w:hAnsi="Century Gothic"/>
              </w:rPr>
              <w:t>lub przedstawiciela ustawowego</w:t>
            </w:r>
          </w:p>
        </w:tc>
        <w:tc>
          <w:tcPr>
            <w:tcW w:w="7100" w:type="dxa"/>
            <w:tcBorders>
              <w:top w:val="single" w:sz="4" w:space="0" w:color="000000"/>
              <w:left w:val="single" w:sz="4" w:space="0" w:color="000000"/>
              <w:bottom w:val="single" w:sz="4" w:space="0" w:color="000000"/>
              <w:right w:val="single" w:sz="4" w:space="0" w:color="000000"/>
            </w:tcBorders>
            <w:vAlign w:val="center"/>
          </w:tcPr>
          <w:p w:rsidR="00247604" w:rsidRPr="00011F16" w:rsidRDefault="00247604" w:rsidP="005143A4">
            <w:pPr>
              <w:tabs>
                <w:tab w:val="left" w:pos="-284"/>
              </w:tabs>
              <w:snapToGrid w:val="0"/>
              <w:ind w:hanging="133"/>
            </w:pPr>
          </w:p>
          <w:p w:rsidR="00247604" w:rsidRPr="00011F16" w:rsidRDefault="00247604" w:rsidP="005143A4">
            <w:pPr>
              <w:tabs>
                <w:tab w:val="left" w:pos="-284"/>
              </w:tabs>
              <w:ind w:hanging="133"/>
            </w:pPr>
          </w:p>
        </w:tc>
      </w:tr>
      <w:tr w:rsidR="00247604" w:rsidRPr="00011F16" w:rsidTr="005143A4">
        <w:trPr>
          <w:trHeight w:val="964"/>
        </w:trPr>
        <w:tc>
          <w:tcPr>
            <w:tcW w:w="3700" w:type="dxa"/>
            <w:tcBorders>
              <w:top w:val="single" w:sz="4" w:space="0" w:color="000000"/>
              <w:left w:val="single" w:sz="4" w:space="0" w:color="000000"/>
              <w:bottom w:val="single" w:sz="4" w:space="0" w:color="000000"/>
              <w:right w:val="single" w:sz="4" w:space="0" w:color="000000"/>
            </w:tcBorders>
            <w:vAlign w:val="center"/>
          </w:tcPr>
          <w:p w:rsidR="00247604" w:rsidRPr="00011F16" w:rsidRDefault="00247604" w:rsidP="005143A4">
            <w:pPr>
              <w:tabs>
                <w:tab w:val="left" w:pos="-284"/>
              </w:tabs>
            </w:pPr>
            <w:r w:rsidRPr="00011F16">
              <w:t xml:space="preserve">                                                                                                                  </w:t>
            </w:r>
          </w:p>
          <w:p w:rsidR="00247604" w:rsidRPr="00247604" w:rsidRDefault="00247604" w:rsidP="00247604">
            <w:pPr>
              <w:tabs>
                <w:tab w:val="left" w:pos="34"/>
              </w:tabs>
              <w:jc w:val="both"/>
              <w:rPr>
                <w:rFonts w:ascii="Century Gothic" w:hAnsi="Century Gothic"/>
              </w:rPr>
            </w:pPr>
            <w:r w:rsidRPr="00247604">
              <w:rPr>
                <w:rFonts w:ascii="Century Gothic" w:hAnsi="Century Gothic"/>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vAlign w:val="center"/>
          </w:tcPr>
          <w:p w:rsidR="00247604" w:rsidRPr="00011F16" w:rsidRDefault="00247604" w:rsidP="005143A4">
            <w:pPr>
              <w:tabs>
                <w:tab w:val="left" w:pos="-284"/>
              </w:tabs>
              <w:snapToGrid w:val="0"/>
              <w:ind w:hanging="133"/>
            </w:pPr>
          </w:p>
        </w:tc>
      </w:tr>
    </w:tbl>
    <w:p w:rsidR="00247604" w:rsidRPr="00375799" w:rsidRDefault="00247604" w:rsidP="00247604">
      <w:pPr>
        <w:tabs>
          <w:tab w:val="left" w:pos="-284"/>
        </w:tabs>
        <w:ind w:left="-567" w:hanging="133"/>
        <w:jc w:val="both"/>
        <w:rPr>
          <w:b/>
        </w:rPr>
      </w:pPr>
    </w:p>
    <w:p w:rsidR="00247604" w:rsidRPr="00D5645F" w:rsidRDefault="00247604" w:rsidP="00247604">
      <w:pPr>
        <w:tabs>
          <w:tab w:val="left" w:pos="-284"/>
        </w:tabs>
        <w:ind w:left="-567" w:hanging="133"/>
        <w:jc w:val="both"/>
        <w:rPr>
          <w:rFonts w:ascii="Century Gothic" w:hAnsi="Century Gothic"/>
          <w:b/>
          <w:sz w:val="24"/>
          <w:szCs w:val="24"/>
        </w:rPr>
      </w:pPr>
    </w:p>
    <w:p w:rsidR="00247604" w:rsidRPr="00D5645F" w:rsidRDefault="00247604" w:rsidP="00247604">
      <w:pPr>
        <w:tabs>
          <w:tab w:val="left" w:pos="-284"/>
        </w:tabs>
        <w:ind w:left="-567" w:hanging="133"/>
        <w:jc w:val="both"/>
        <w:rPr>
          <w:rFonts w:ascii="Century Gothic" w:hAnsi="Century Gothic"/>
          <w:sz w:val="24"/>
          <w:szCs w:val="24"/>
        </w:rPr>
      </w:pPr>
      <w:r w:rsidRPr="00D5645F">
        <w:rPr>
          <w:rFonts w:ascii="Century Gothic" w:hAnsi="Century Gothic"/>
          <w:b/>
          <w:sz w:val="24"/>
          <w:szCs w:val="24"/>
        </w:rPr>
        <w:t>13. SPRZECIW PACJENTA:</w:t>
      </w:r>
    </w:p>
    <w:p w:rsidR="00247604" w:rsidRPr="00D5645F" w:rsidRDefault="00247604" w:rsidP="00247604">
      <w:pPr>
        <w:tabs>
          <w:tab w:val="left" w:pos="-284"/>
        </w:tabs>
        <w:ind w:left="-700"/>
        <w:jc w:val="both"/>
        <w:rPr>
          <w:rFonts w:ascii="Century Gothic" w:hAnsi="Century Gothic"/>
          <w:bCs/>
          <w:sz w:val="24"/>
          <w:szCs w:val="24"/>
        </w:rPr>
      </w:pPr>
      <w:r w:rsidRPr="00D5645F">
        <w:rPr>
          <w:rFonts w:ascii="Century Gothic" w:hAnsi="Century Gothic"/>
          <w:bCs/>
          <w:sz w:val="24"/>
          <w:szCs w:val="24"/>
        </w:rPr>
        <w:t>Nie zgadzam się na proponowany mi zabieg operacyjny. Zostałem/Zostałam poinformowana o możliwych negatywnych konsekwencjach takiej decyzji dla mojego zdrowia i życia.</w:t>
      </w:r>
    </w:p>
    <w:p w:rsidR="00D5645F" w:rsidRPr="00375799" w:rsidRDefault="00D5645F" w:rsidP="005A72E5">
      <w:pPr>
        <w:tabs>
          <w:tab w:val="left" w:pos="-284"/>
        </w:tabs>
        <w:jc w:val="both"/>
        <w:rPr>
          <w:b/>
        </w:rPr>
      </w:pPr>
    </w:p>
    <w:tbl>
      <w:tblPr>
        <w:tblW w:w="0" w:type="auto"/>
        <w:tblInd w:w="-492" w:type="dxa"/>
        <w:tblLayout w:type="fixed"/>
        <w:tblLook w:val="0000"/>
      </w:tblPr>
      <w:tblGrid>
        <w:gridCol w:w="3700"/>
        <w:gridCol w:w="7100"/>
      </w:tblGrid>
      <w:tr w:rsidR="00247604" w:rsidRPr="00011F16" w:rsidTr="005143A4">
        <w:trPr>
          <w:trHeight w:val="1020"/>
        </w:trPr>
        <w:tc>
          <w:tcPr>
            <w:tcW w:w="3700" w:type="dxa"/>
            <w:tcBorders>
              <w:top w:val="single" w:sz="4" w:space="0" w:color="000000"/>
              <w:left w:val="single" w:sz="4" w:space="0" w:color="000000"/>
              <w:bottom w:val="single" w:sz="4" w:space="0" w:color="000000"/>
              <w:right w:val="single" w:sz="4" w:space="0" w:color="000000"/>
            </w:tcBorders>
            <w:vAlign w:val="center"/>
          </w:tcPr>
          <w:p w:rsidR="00247604" w:rsidRPr="00D5645F" w:rsidRDefault="00247604" w:rsidP="00D5645F">
            <w:pPr>
              <w:tabs>
                <w:tab w:val="left" w:pos="-284"/>
              </w:tabs>
              <w:ind w:hanging="45"/>
              <w:jc w:val="both"/>
              <w:rPr>
                <w:rFonts w:ascii="Century Gothic" w:hAnsi="Century Gothic"/>
              </w:rPr>
            </w:pPr>
            <w:r w:rsidRPr="00D5645F">
              <w:rPr>
                <w:rFonts w:ascii="Century Gothic" w:hAnsi="Century Gothic"/>
              </w:rPr>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vAlign w:val="center"/>
          </w:tcPr>
          <w:p w:rsidR="00247604" w:rsidRPr="00011F16" w:rsidRDefault="00247604" w:rsidP="005143A4">
            <w:pPr>
              <w:tabs>
                <w:tab w:val="left" w:pos="-284"/>
              </w:tabs>
              <w:snapToGrid w:val="0"/>
              <w:ind w:hanging="133"/>
            </w:pPr>
          </w:p>
          <w:p w:rsidR="00247604" w:rsidRPr="00011F16" w:rsidRDefault="00247604" w:rsidP="005143A4">
            <w:pPr>
              <w:tabs>
                <w:tab w:val="left" w:pos="-284"/>
              </w:tabs>
              <w:ind w:hanging="133"/>
            </w:pPr>
          </w:p>
        </w:tc>
      </w:tr>
      <w:tr w:rsidR="00247604" w:rsidRPr="00011F16" w:rsidTr="005143A4">
        <w:trPr>
          <w:trHeight w:val="1020"/>
        </w:trPr>
        <w:tc>
          <w:tcPr>
            <w:tcW w:w="3700" w:type="dxa"/>
            <w:tcBorders>
              <w:top w:val="single" w:sz="4" w:space="0" w:color="000000"/>
              <w:left w:val="single" w:sz="4" w:space="0" w:color="000000"/>
              <w:bottom w:val="single" w:sz="4" w:space="0" w:color="000000"/>
              <w:right w:val="single" w:sz="4" w:space="0" w:color="000000"/>
            </w:tcBorders>
            <w:vAlign w:val="center"/>
          </w:tcPr>
          <w:p w:rsidR="00247604" w:rsidRPr="00011F16" w:rsidRDefault="00247604" w:rsidP="00D5645F">
            <w:pPr>
              <w:tabs>
                <w:tab w:val="left" w:pos="-284"/>
              </w:tabs>
              <w:ind w:left="-249" w:hanging="45"/>
              <w:jc w:val="both"/>
            </w:pPr>
            <w:r w:rsidRPr="00011F16">
              <w:t xml:space="preserve">                                                                                                                     </w:t>
            </w:r>
          </w:p>
          <w:p w:rsidR="00247604" w:rsidRPr="00D5645F" w:rsidRDefault="00247604" w:rsidP="00D5645F">
            <w:pPr>
              <w:tabs>
                <w:tab w:val="left" w:pos="0"/>
              </w:tabs>
              <w:ind w:hanging="45"/>
              <w:jc w:val="both"/>
              <w:rPr>
                <w:rFonts w:ascii="Century Gothic" w:hAnsi="Century Gothic"/>
              </w:rPr>
            </w:pPr>
            <w:r w:rsidRPr="00D5645F">
              <w:rPr>
                <w:rFonts w:ascii="Century Gothic" w:hAnsi="Century Gothic"/>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vAlign w:val="center"/>
          </w:tcPr>
          <w:p w:rsidR="00247604" w:rsidRPr="00011F16" w:rsidRDefault="00247604" w:rsidP="005143A4">
            <w:pPr>
              <w:tabs>
                <w:tab w:val="left" w:pos="-284"/>
              </w:tabs>
              <w:snapToGrid w:val="0"/>
              <w:ind w:hanging="133"/>
            </w:pPr>
          </w:p>
        </w:tc>
      </w:tr>
    </w:tbl>
    <w:p w:rsidR="00247604" w:rsidRPr="00247604" w:rsidRDefault="00247604" w:rsidP="00247604">
      <w:pPr>
        <w:tabs>
          <w:tab w:val="left" w:pos="-284"/>
        </w:tabs>
        <w:ind w:left="-567" w:right="333" w:hanging="133"/>
        <w:jc w:val="both"/>
        <w:rPr>
          <w:rFonts w:ascii="Century Gothic" w:hAnsi="Century Gothic"/>
          <w:sz w:val="24"/>
          <w:szCs w:val="24"/>
        </w:rPr>
      </w:pPr>
    </w:p>
    <w:p w:rsidR="00EB6AAA" w:rsidRPr="004170C6" w:rsidRDefault="00EB6AAA" w:rsidP="004170C6">
      <w:pPr>
        <w:ind w:left="-700"/>
        <w:jc w:val="both"/>
        <w:rPr>
          <w:rFonts w:ascii="Century Gothic" w:hAnsi="Century Gothic"/>
          <w:sz w:val="24"/>
          <w:szCs w:val="24"/>
        </w:rPr>
      </w:pPr>
    </w:p>
    <w:sectPr w:rsidR="00EB6AAA" w:rsidRPr="004170C6"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301D" w:rsidRDefault="0075301D" w:rsidP="00E637FA">
      <w:pPr>
        <w:spacing w:after="0" w:line="240" w:lineRule="auto"/>
      </w:pPr>
      <w:r>
        <w:separator/>
      </w:r>
    </w:p>
  </w:endnote>
  <w:endnote w:type="continuationSeparator" w:id="0">
    <w:p w:rsidR="0075301D" w:rsidRDefault="0075301D"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301D" w:rsidRDefault="0075301D" w:rsidP="00E637FA">
      <w:pPr>
        <w:spacing w:after="0" w:line="240" w:lineRule="auto"/>
      </w:pPr>
      <w:r>
        <w:separator/>
      </w:r>
    </w:p>
  </w:footnote>
  <w:footnote w:type="continuationSeparator" w:id="0">
    <w:p w:rsidR="0075301D" w:rsidRDefault="0075301D"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94DF8"/>
    <w:multiLevelType w:val="hybridMultilevel"/>
    <w:tmpl w:val="12BE65B4"/>
    <w:lvl w:ilvl="0" w:tplc="04150017">
      <w:start w:val="1"/>
      <w:numFmt w:val="lowerLetter"/>
      <w:lvlText w:val="%1)"/>
      <w:lvlJc w:val="left"/>
      <w:pPr>
        <w:ind w:left="770" w:hanging="360"/>
      </w:pPr>
    </w:lvl>
    <w:lvl w:ilvl="1" w:tplc="04150019" w:tentative="1">
      <w:start w:val="1"/>
      <w:numFmt w:val="lowerLetter"/>
      <w:lvlText w:val="%2."/>
      <w:lvlJc w:val="left"/>
      <w:pPr>
        <w:ind w:left="1490" w:hanging="360"/>
      </w:pPr>
    </w:lvl>
    <w:lvl w:ilvl="2" w:tplc="0415001B" w:tentative="1">
      <w:start w:val="1"/>
      <w:numFmt w:val="lowerRoman"/>
      <w:lvlText w:val="%3."/>
      <w:lvlJc w:val="right"/>
      <w:pPr>
        <w:ind w:left="2210" w:hanging="180"/>
      </w:pPr>
    </w:lvl>
    <w:lvl w:ilvl="3" w:tplc="0415000F" w:tentative="1">
      <w:start w:val="1"/>
      <w:numFmt w:val="decimal"/>
      <w:lvlText w:val="%4."/>
      <w:lvlJc w:val="left"/>
      <w:pPr>
        <w:ind w:left="2930" w:hanging="360"/>
      </w:pPr>
    </w:lvl>
    <w:lvl w:ilvl="4" w:tplc="04150019" w:tentative="1">
      <w:start w:val="1"/>
      <w:numFmt w:val="lowerLetter"/>
      <w:lvlText w:val="%5."/>
      <w:lvlJc w:val="left"/>
      <w:pPr>
        <w:ind w:left="3650" w:hanging="360"/>
      </w:pPr>
    </w:lvl>
    <w:lvl w:ilvl="5" w:tplc="0415001B" w:tentative="1">
      <w:start w:val="1"/>
      <w:numFmt w:val="lowerRoman"/>
      <w:lvlText w:val="%6."/>
      <w:lvlJc w:val="right"/>
      <w:pPr>
        <w:ind w:left="4370" w:hanging="180"/>
      </w:pPr>
    </w:lvl>
    <w:lvl w:ilvl="6" w:tplc="0415000F" w:tentative="1">
      <w:start w:val="1"/>
      <w:numFmt w:val="decimal"/>
      <w:lvlText w:val="%7."/>
      <w:lvlJc w:val="left"/>
      <w:pPr>
        <w:ind w:left="5090" w:hanging="360"/>
      </w:pPr>
    </w:lvl>
    <w:lvl w:ilvl="7" w:tplc="04150019" w:tentative="1">
      <w:start w:val="1"/>
      <w:numFmt w:val="lowerLetter"/>
      <w:lvlText w:val="%8."/>
      <w:lvlJc w:val="left"/>
      <w:pPr>
        <w:ind w:left="5810" w:hanging="360"/>
      </w:pPr>
    </w:lvl>
    <w:lvl w:ilvl="8" w:tplc="0415001B" w:tentative="1">
      <w:start w:val="1"/>
      <w:numFmt w:val="lowerRoman"/>
      <w:lvlText w:val="%9."/>
      <w:lvlJc w:val="right"/>
      <w:pPr>
        <w:ind w:left="653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rawingGridHorizontalSpacing w:val="110"/>
  <w:displayHorizontalDrawingGridEvery w:val="2"/>
  <w:characterSpacingControl w:val="doNotCompress"/>
  <w:hdrShapeDefaults>
    <o:shapedefaults v:ext="edit" spidmax="21506"/>
  </w:hdrShapeDefaults>
  <w:footnotePr>
    <w:footnote w:id="-1"/>
    <w:footnote w:id="0"/>
  </w:footnotePr>
  <w:endnotePr>
    <w:endnote w:id="-1"/>
    <w:endnote w:id="0"/>
  </w:endnotePr>
  <w:compat/>
  <w:rsids>
    <w:rsidRoot w:val="00E637FA"/>
    <w:rsid w:val="00012DC7"/>
    <w:rsid w:val="00030863"/>
    <w:rsid w:val="00036DFD"/>
    <w:rsid w:val="00063262"/>
    <w:rsid w:val="000A79DF"/>
    <w:rsid w:val="0010050F"/>
    <w:rsid w:val="00101652"/>
    <w:rsid w:val="00106356"/>
    <w:rsid w:val="0019682E"/>
    <w:rsid w:val="001A2B64"/>
    <w:rsid w:val="00234411"/>
    <w:rsid w:val="00247604"/>
    <w:rsid w:val="002F4BAB"/>
    <w:rsid w:val="00332339"/>
    <w:rsid w:val="003E4324"/>
    <w:rsid w:val="004170C6"/>
    <w:rsid w:val="00424D4A"/>
    <w:rsid w:val="0046603A"/>
    <w:rsid w:val="00504CFC"/>
    <w:rsid w:val="0055171D"/>
    <w:rsid w:val="00553DA8"/>
    <w:rsid w:val="005A5F2B"/>
    <w:rsid w:val="005A72E5"/>
    <w:rsid w:val="005B7D22"/>
    <w:rsid w:val="005C3646"/>
    <w:rsid w:val="005F7EE5"/>
    <w:rsid w:val="00612639"/>
    <w:rsid w:val="006C434C"/>
    <w:rsid w:val="006C473B"/>
    <w:rsid w:val="006E2796"/>
    <w:rsid w:val="007015E6"/>
    <w:rsid w:val="00735429"/>
    <w:rsid w:val="0075301D"/>
    <w:rsid w:val="007C26F2"/>
    <w:rsid w:val="00871EEA"/>
    <w:rsid w:val="00872319"/>
    <w:rsid w:val="00950D74"/>
    <w:rsid w:val="0098025B"/>
    <w:rsid w:val="009C16AD"/>
    <w:rsid w:val="009F5B10"/>
    <w:rsid w:val="00A33A61"/>
    <w:rsid w:val="00A40ECA"/>
    <w:rsid w:val="00A45C65"/>
    <w:rsid w:val="00A83918"/>
    <w:rsid w:val="00AE4D15"/>
    <w:rsid w:val="00AF2A10"/>
    <w:rsid w:val="00B03C98"/>
    <w:rsid w:val="00B307B4"/>
    <w:rsid w:val="00B5377A"/>
    <w:rsid w:val="00B57213"/>
    <w:rsid w:val="00C609D0"/>
    <w:rsid w:val="00D5645F"/>
    <w:rsid w:val="00D9070B"/>
    <w:rsid w:val="00DB6EB4"/>
    <w:rsid w:val="00DE014C"/>
    <w:rsid w:val="00E53D17"/>
    <w:rsid w:val="00E637FA"/>
    <w:rsid w:val="00E7219D"/>
    <w:rsid w:val="00EB4CB9"/>
    <w:rsid w:val="00EB6AAA"/>
    <w:rsid w:val="00EC59BF"/>
    <w:rsid w:val="00F3444C"/>
    <w:rsid w:val="00FB640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paragraph" w:styleId="Akapitzlist">
    <w:name w:val="List Paragraph"/>
    <w:basedOn w:val="Normalny"/>
    <w:uiPriority w:val="34"/>
    <w:qFormat/>
    <w:rsid w:val="00FB640B"/>
    <w:pPr>
      <w:ind w:left="720"/>
      <w:contextualSpacing/>
    </w:pPr>
  </w:style>
  <w:style w:type="character" w:customStyle="1" w:styleId="citation-0">
    <w:name w:val="citation-0"/>
    <w:basedOn w:val="Domylnaczcionkaakapitu"/>
    <w:rsid w:val="005F7EE5"/>
  </w:style>
  <w:style w:type="character" w:customStyle="1" w:styleId="citation-1">
    <w:name w:val="citation-1"/>
    <w:basedOn w:val="Domylnaczcionkaakapitu"/>
    <w:rsid w:val="005F7EE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4748EF-4817-4B91-8730-B56F65AF0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15</Pages>
  <Words>5124</Words>
  <Characters>30745</Characters>
  <Application>Microsoft Office Word</Application>
  <DocSecurity>0</DocSecurity>
  <Lines>256</Lines>
  <Paragraphs>71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35798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23</cp:revision>
  <cp:lastPrinted>2024-07-26T10:23:00Z</cp:lastPrinted>
  <dcterms:created xsi:type="dcterms:W3CDTF">2025-12-09T13:37:00Z</dcterms:created>
  <dcterms:modified xsi:type="dcterms:W3CDTF">2026-01-08T12:42:00Z</dcterms:modified>
</cp:coreProperties>
</file>